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2A" w:rsidRDefault="000909A9" w:rsidP="000E4DAD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7C6" w:rsidRPr="00482DAF" w:rsidRDefault="00A277C6" w:rsidP="00A277C6">
      <w:pPr>
        <w:ind w:left="0"/>
        <w:jc w:val="center"/>
        <w:rPr>
          <w:rStyle w:val="Odwoaniedelikatne"/>
          <w:rFonts w:ascii="Times New Roman" w:hAnsi="Times New Roman" w:cs="Times New Roman"/>
          <w:sz w:val="28"/>
          <w:szCs w:val="28"/>
        </w:rPr>
      </w:pPr>
      <w:r w:rsidRPr="00482DAF">
        <w:rPr>
          <w:rStyle w:val="Odwoaniedelikatne"/>
          <w:rFonts w:ascii="Times New Roman" w:hAnsi="Times New Roman" w:cs="Times New Roman"/>
          <w:sz w:val="28"/>
          <w:szCs w:val="28"/>
        </w:rPr>
        <w:t xml:space="preserve">Podsumowanie realizacji Programu specjalnego pn. </w:t>
      </w:r>
      <w:r w:rsidRPr="0069273B">
        <w:rPr>
          <w:rStyle w:val="Odwoaniedelikatne"/>
          <w:rFonts w:ascii="Times New Roman" w:hAnsi="Times New Roman" w:cs="Times New Roman"/>
          <w:i/>
          <w:sz w:val="28"/>
          <w:szCs w:val="28"/>
        </w:rPr>
        <w:t>Cel praca</w:t>
      </w:r>
      <w:r>
        <w:rPr>
          <w:rStyle w:val="Odwoaniedelikatne"/>
          <w:rFonts w:ascii="Times New Roman" w:hAnsi="Times New Roman" w:cs="Times New Roman"/>
          <w:sz w:val="28"/>
          <w:szCs w:val="28"/>
        </w:rPr>
        <w:t>.</w:t>
      </w:r>
    </w:p>
    <w:p w:rsidR="00A277C6" w:rsidRDefault="00A277C6" w:rsidP="000E4DAD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277C6" w:rsidRDefault="00A277C6" w:rsidP="000E4DAD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B6BE4" w:rsidRDefault="001B6BE4" w:rsidP="00482DAF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F57" w:rsidRDefault="00CD4F57" w:rsidP="00482DAF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6BE4" w:rsidRDefault="001B6BE4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specjalny stanowi jedną z niewielu możliwości aktywizacji osób bezrobotnych z ustalonym III profilem pomocy. </w:t>
      </w:r>
      <w:r w:rsidR="00482DAF">
        <w:rPr>
          <w:rFonts w:ascii="Times New Roman" w:hAnsi="Times New Roman" w:cs="Times New Roman"/>
          <w:sz w:val="24"/>
          <w:szCs w:val="24"/>
        </w:rPr>
        <w:t>Program realizowany był w partnerstwie z władzami samorządowymi Gminy Gostycyn z inicjatywy których powstała koncepcja programu.</w:t>
      </w:r>
    </w:p>
    <w:p w:rsidR="001B6BE4" w:rsidRDefault="001B6BE4" w:rsidP="0045545A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A3C0F" w:rsidRDefault="00482DAF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Formuła programów specjalnych, w odróżnieniu od innych programów rynku pracy, pozwala na zastosowanie kompleksowych działań wspierających przy użyciu narzędzi innych niż wymienione w ustawie o zatrudnieniu i instytucjach rynku pracy.</w:t>
      </w:r>
      <w:r w:rsidR="00A37C17">
        <w:rPr>
          <w:rFonts w:ascii="Times New Roman" w:hAnsi="Times New Roman" w:cs="Times New Roman"/>
          <w:sz w:val="24"/>
          <w:szCs w:val="24"/>
        </w:rPr>
        <w:t xml:space="preserve"> Działania te określane są </w:t>
      </w:r>
      <w:r w:rsidR="0055268F">
        <w:rPr>
          <w:rFonts w:ascii="Times New Roman" w:hAnsi="Times New Roman" w:cs="Times New Roman"/>
          <w:sz w:val="24"/>
          <w:szCs w:val="24"/>
        </w:rPr>
        <w:t xml:space="preserve">jako </w:t>
      </w:r>
      <w:r w:rsidR="0055268F" w:rsidRPr="0055268F">
        <w:rPr>
          <w:rFonts w:ascii="Times New Roman" w:hAnsi="Times New Roman" w:cs="Times New Roman"/>
          <w:i/>
          <w:sz w:val="24"/>
          <w:szCs w:val="24"/>
        </w:rPr>
        <w:t>E</w:t>
      </w:r>
      <w:r w:rsidR="00A37C17" w:rsidRPr="0055268F">
        <w:rPr>
          <w:rFonts w:ascii="Times New Roman" w:hAnsi="Times New Roman" w:cs="Times New Roman"/>
          <w:i/>
          <w:sz w:val="24"/>
          <w:szCs w:val="24"/>
        </w:rPr>
        <w:t>lementy specjalne</w:t>
      </w:r>
      <w:r w:rsidR="00A37C17">
        <w:rPr>
          <w:rFonts w:ascii="Times New Roman" w:hAnsi="Times New Roman" w:cs="Times New Roman"/>
          <w:sz w:val="24"/>
          <w:szCs w:val="24"/>
        </w:rPr>
        <w:t>.</w:t>
      </w:r>
    </w:p>
    <w:p w:rsidR="00CA3C0F" w:rsidRDefault="00CA3C0F" w:rsidP="00CA3C0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A3C0F" w:rsidRPr="00482DAF" w:rsidRDefault="00CA3C0F" w:rsidP="00CA3C0F">
      <w:pPr>
        <w:ind w:left="0"/>
        <w:rPr>
          <w:rStyle w:val="Odwoaniedelikatne"/>
          <w:rFonts w:ascii="Times New Roman" w:hAnsi="Times New Roman" w:cs="Times New Roman"/>
        </w:rPr>
      </w:pPr>
      <w:r w:rsidRPr="00482DAF">
        <w:rPr>
          <w:rStyle w:val="Odwoaniedelikatne"/>
          <w:rFonts w:ascii="Times New Roman" w:hAnsi="Times New Roman" w:cs="Times New Roman"/>
        </w:rPr>
        <w:t>Cel programu</w:t>
      </w:r>
    </w:p>
    <w:p w:rsidR="00935A71" w:rsidRDefault="00935A71" w:rsidP="00353C2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3C0F" w:rsidRDefault="00353C2A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programu była</w:t>
      </w:r>
      <w:r w:rsidRPr="00353C2A">
        <w:rPr>
          <w:rFonts w:ascii="Times New Roman" w:hAnsi="Times New Roman" w:cs="Times New Roman"/>
          <w:sz w:val="24"/>
          <w:szCs w:val="24"/>
        </w:rPr>
        <w:t xml:space="preserve"> aktywizacja zawodowa 12 mieszkańców Gminy Gostycyn zarejestrowanych w PUP</w:t>
      </w:r>
      <w:r w:rsidR="000C1A29">
        <w:rPr>
          <w:rFonts w:ascii="Times New Roman" w:hAnsi="Times New Roman" w:cs="Times New Roman"/>
          <w:sz w:val="24"/>
          <w:szCs w:val="24"/>
        </w:rPr>
        <w:t xml:space="preserve"> w Tucholi</w:t>
      </w:r>
      <w:r w:rsidRPr="00353C2A">
        <w:rPr>
          <w:rFonts w:ascii="Times New Roman" w:hAnsi="Times New Roman" w:cs="Times New Roman"/>
          <w:sz w:val="24"/>
          <w:szCs w:val="24"/>
        </w:rPr>
        <w:t xml:space="preserve"> jako osoby bezrobotne, dla których ustalony został III profil pomocy. Oznacza to, że są to osoby mocno oddalone od rynku pracy, które wymagają szczególnego wsparcia w powrocie na rynek pracy.</w:t>
      </w:r>
    </w:p>
    <w:p w:rsidR="00353C2A" w:rsidRDefault="00353C2A" w:rsidP="00353C2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3C2A" w:rsidRPr="00482DAF" w:rsidRDefault="00353C2A" w:rsidP="00353C2A">
      <w:pPr>
        <w:ind w:left="0"/>
        <w:jc w:val="both"/>
        <w:rPr>
          <w:rStyle w:val="Odwoaniedelikatne"/>
          <w:rFonts w:ascii="Times New Roman" w:hAnsi="Times New Roman" w:cs="Times New Roman"/>
        </w:rPr>
      </w:pPr>
      <w:r w:rsidRPr="00482DAF">
        <w:rPr>
          <w:rStyle w:val="Odwoaniedelikatne"/>
          <w:rFonts w:ascii="Times New Roman" w:hAnsi="Times New Roman" w:cs="Times New Roman"/>
        </w:rPr>
        <w:t>Okres realizacji</w:t>
      </w:r>
    </w:p>
    <w:p w:rsidR="00935A71" w:rsidRDefault="00935A71" w:rsidP="00353C2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A71" w:rsidRDefault="00482DAF" w:rsidP="00353C2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realizowany był o</w:t>
      </w:r>
      <w:r w:rsidR="00353C2A">
        <w:rPr>
          <w:rFonts w:ascii="Times New Roman" w:hAnsi="Times New Roman" w:cs="Times New Roman"/>
          <w:sz w:val="24"/>
          <w:szCs w:val="24"/>
        </w:rPr>
        <w:t>d 1.08.2015</w:t>
      </w:r>
      <w:r>
        <w:rPr>
          <w:rFonts w:ascii="Times New Roman" w:hAnsi="Times New Roman" w:cs="Times New Roman"/>
          <w:sz w:val="24"/>
          <w:szCs w:val="24"/>
        </w:rPr>
        <w:t xml:space="preserve"> r. do </w:t>
      </w:r>
      <w:r w:rsidR="00EC0D4B">
        <w:rPr>
          <w:rFonts w:ascii="Times New Roman" w:hAnsi="Times New Roman" w:cs="Times New Roman"/>
          <w:sz w:val="24"/>
          <w:szCs w:val="24"/>
        </w:rPr>
        <w:t>16.04.2016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353C2A">
        <w:rPr>
          <w:rFonts w:ascii="Times New Roman" w:hAnsi="Times New Roman" w:cs="Times New Roman"/>
          <w:sz w:val="24"/>
          <w:szCs w:val="24"/>
        </w:rPr>
        <w:t>.</w:t>
      </w:r>
    </w:p>
    <w:p w:rsidR="00353C2A" w:rsidRDefault="00353C2A" w:rsidP="00353C2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3C2A" w:rsidRPr="0069273B" w:rsidRDefault="00353C2A" w:rsidP="00353C2A">
      <w:pPr>
        <w:ind w:left="0"/>
        <w:jc w:val="both"/>
        <w:rPr>
          <w:rStyle w:val="Odwoaniedelikatne"/>
          <w:rFonts w:ascii="Times New Roman" w:hAnsi="Times New Roman" w:cs="Times New Roman"/>
        </w:rPr>
      </w:pPr>
      <w:r w:rsidRPr="0069273B">
        <w:rPr>
          <w:rStyle w:val="Odwoaniedelikatne"/>
          <w:rFonts w:ascii="Times New Roman" w:hAnsi="Times New Roman" w:cs="Times New Roman"/>
        </w:rPr>
        <w:t>Realizacja programu</w:t>
      </w:r>
    </w:p>
    <w:p w:rsidR="00935A71" w:rsidRDefault="00935A71" w:rsidP="00353C2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3C2A" w:rsidRDefault="00353C2A" w:rsidP="00353C2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programu odbyła się w 4 etapach:</w:t>
      </w:r>
    </w:p>
    <w:p w:rsidR="00FC38CE" w:rsidRDefault="00FC38CE" w:rsidP="00353C2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2C3E" w:rsidRDefault="00353C2A" w:rsidP="0045545A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etap</w:t>
      </w:r>
      <w:r w:rsidR="00C334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A71">
        <w:rPr>
          <w:rFonts w:ascii="Times New Roman" w:hAnsi="Times New Roman" w:cs="Times New Roman"/>
          <w:i/>
          <w:color w:val="943634" w:themeColor="accent2" w:themeShade="BF"/>
          <w:sz w:val="24"/>
          <w:szCs w:val="24"/>
        </w:rPr>
        <w:t>rekrutacja</w:t>
      </w:r>
      <w:r>
        <w:rPr>
          <w:rFonts w:ascii="Times New Roman" w:hAnsi="Times New Roman" w:cs="Times New Roman"/>
          <w:sz w:val="24"/>
          <w:szCs w:val="24"/>
        </w:rPr>
        <w:t xml:space="preserve"> uczestników</w:t>
      </w:r>
      <w:r w:rsidR="00C334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A71" w:rsidRDefault="00935A71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Rekrutacja uczestników </w:t>
      </w:r>
      <w:r w:rsidR="001855C2">
        <w:rPr>
          <w:rFonts w:ascii="Times New Roman" w:hAnsi="Times New Roman" w:cs="Times New Roman"/>
          <w:sz w:val="24"/>
          <w:szCs w:val="24"/>
        </w:rPr>
        <w:t xml:space="preserve">realizowana była w sierpniu 2015 r., </w:t>
      </w:r>
      <w:r>
        <w:rPr>
          <w:rFonts w:ascii="Times New Roman" w:hAnsi="Times New Roman" w:cs="Times New Roman"/>
          <w:sz w:val="24"/>
          <w:szCs w:val="24"/>
        </w:rPr>
        <w:t>na tere</w:t>
      </w:r>
      <w:r w:rsidR="00197C31">
        <w:rPr>
          <w:rFonts w:ascii="Times New Roman" w:hAnsi="Times New Roman" w:cs="Times New Roman"/>
          <w:sz w:val="24"/>
          <w:szCs w:val="24"/>
        </w:rPr>
        <w:t>nie gminy Gostycyn. Na spotkania</w:t>
      </w:r>
      <w:r>
        <w:rPr>
          <w:rFonts w:ascii="Times New Roman" w:hAnsi="Times New Roman" w:cs="Times New Roman"/>
          <w:sz w:val="24"/>
          <w:szCs w:val="24"/>
        </w:rPr>
        <w:t xml:space="preserve"> zaproszono 32 bezrobotnych. Do uczestnictwa w programie specjalnym doradca zawodowy we współpracy z Gminą Gostycyn oraz Gminnym Ośrodkiem Pomocy Społecznej w Go</w:t>
      </w:r>
      <w:r w:rsidR="001855C2">
        <w:rPr>
          <w:rFonts w:ascii="Times New Roman" w:hAnsi="Times New Roman" w:cs="Times New Roman"/>
          <w:sz w:val="24"/>
          <w:szCs w:val="24"/>
        </w:rPr>
        <w:t>stycynie zakwalifikował 12 osób.</w:t>
      </w:r>
    </w:p>
    <w:p w:rsidR="00814531" w:rsidRDefault="00814531" w:rsidP="00814531">
      <w:pPr>
        <w:ind w:left="0"/>
        <w:jc w:val="both"/>
        <w:rPr>
          <w:rFonts w:ascii="Times New Roman" w:hAnsi="Times New Roman" w:cs="Times New Roman"/>
          <w:i/>
          <w:color w:val="943634" w:themeColor="accent2" w:themeShade="BF"/>
          <w:sz w:val="24"/>
          <w:szCs w:val="24"/>
        </w:rPr>
      </w:pPr>
    </w:p>
    <w:p w:rsidR="001855C2" w:rsidRDefault="001855C2" w:rsidP="00814531">
      <w:pPr>
        <w:ind w:left="0"/>
        <w:jc w:val="both"/>
        <w:rPr>
          <w:rFonts w:ascii="Times New Roman" w:hAnsi="Times New Roman" w:cs="Times New Roman"/>
          <w:i/>
          <w:color w:val="943634" w:themeColor="accent2" w:themeShade="BF"/>
          <w:sz w:val="24"/>
          <w:szCs w:val="24"/>
        </w:rPr>
      </w:pPr>
      <w:r w:rsidRPr="001855C2">
        <w:rPr>
          <w:rFonts w:ascii="Times New Roman" w:hAnsi="Times New Roman" w:cs="Times New Roman"/>
          <w:i/>
          <w:color w:val="943634" w:themeColor="accent2" w:themeShade="BF"/>
          <w:sz w:val="24"/>
          <w:szCs w:val="24"/>
        </w:rPr>
        <w:t>Uczestnicy Programu specjalnego</w:t>
      </w:r>
    </w:p>
    <w:p w:rsidR="00814531" w:rsidRDefault="00814531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38CE" w:rsidRDefault="002607F9" w:rsidP="00353C2A">
      <w:pPr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1. Struktura uczestników Programu specjalnego </w:t>
      </w:r>
      <w:r w:rsidRPr="002607F9">
        <w:rPr>
          <w:rFonts w:ascii="Times New Roman" w:hAnsi="Times New Roman" w:cs="Times New Roman"/>
          <w:i/>
          <w:sz w:val="24"/>
          <w:szCs w:val="24"/>
        </w:rPr>
        <w:t>Cel praca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86DD7" w:rsidRPr="00E34F7B" w:rsidTr="004E36C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B86DD7" w:rsidRPr="00E34F7B" w:rsidRDefault="00B86DD7" w:rsidP="00353C2A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7B"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B86DD7" w:rsidRPr="00E34F7B" w:rsidRDefault="00B86DD7" w:rsidP="00200FF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6DD7" w:rsidRPr="00E34F7B" w:rsidRDefault="00B86DD7" w:rsidP="00200FF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DD7">
              <w:rPr>
                <w:rFonts w:ascii="Times New Roman" w:hAnsi="Times New Roman" w:cs="Times New Roman"/>
                <w:b/>
                <w:sz w:val="24"/>
                <w:szCs w:val="24"/>
              </w:rPr>
              <w:t>udział w %</w:t>
            </w:r>
          </w:p>
        </w:tc>
      </w:tr>
      <w:tr w:rsidR="00CD4F57" w:rsidRPr="00E34F7B" w:rsidTr="00B92741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F57" w:rsidRPr="00E34F7B" w:rsidRDefault="00CD4F57" w:rsidP="00200FF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7B">
              <w:rPr>
                <w:rFonts w:ascii="Times New Roman" w:hAnsi="Times New Roman" w:cs="Times New Roman"/>
                <w:b/>
                <w:sz w:val="24"/>
                <w:szCs w:val="24"/>
              </w:rPr>
              <w:t>według płci</w:t>
            </w:r>
          </w:p>
        </w:tc>
      </w:tr>
      <w:tr w:rsidR="00200FF0" w:rsidTr="00E34F7B">
        <w:tc>
          <w:tcPr>
            <w:tcW w:w="3070" w:type="dxa"/>
            <w:tcBorders>
              <w:top w:val="single" w:sz="4" w:space="0" w:color="auto"/>
            </w:tcBorders>
          </w:tcPr>
          <w:p w:rsidR="00200FF0" w:rsidRDefault="00200FF0" w:rsidP="00200FF0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kobiety 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200FF0" w:rsidRDefault="00200FF0" w:rsidP="00200FF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200FF0" w:rsidRDefault="00200FF0" w:rsidP="00200FF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200FF0" w:rsidTr="00200FF0">
        <w:tc>
          <w:tcPr>
            <w:tcW w:w="3070" w:type="dxa"/>
          </w:tcPr>
          <w:p w:rsidR="00200FF0" w:rsidRDefault="00200FF0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mężczyźni</w:t>
            </w:r>
          </w:p>
        </w:tc>
        <w:tc>
          <w:tcPr>
            <w:tcW w:w="3071" w:type="dxa"/>
          </w:tcPr>
          <w:p w:rsidR="00200FF0" w:rsidRDefault="00200FF0" w:rsidP="00200FF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1" w:type="dxa"/>
          </w:tcPr>
          <w:p w:rsidR="00200FF0" w:rsidRDefault="00200FF0" w:rsidP="00200FF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CA4F34" w:rsidTr="00200FF0">
        <w:tc>
          <w:tcPr>
            <w:tcW w:w="3070" w:type="dxa"/>
          </w:tcPr>
          <w:p w:rsidR="00CA4F34" w:rsidRDefault="00CA4F34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3071" w:type="dxa"/>
          </w:tcPr>
          <w:p w:rsidR="00CA4F34" w:rsidRDefault="00CA4F34" w:rsidP="00200FF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1" w:type="dxa"/>
          </w:tcPr>
          <w:p w:rsidR="00CA4F34" w:rsidRDefault="00CA4F34" w:rsidP="00200FF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D4F57" w:rsidRPr="00E34F7B" w:rsidTr="00852610">
        <w:tc>
          <w:tcPr>
            <w:tcW w:w="9212" w:type="dxa"/>
            <w:gridSpan w:val="3"/>
          </w:tcPr>
          <w:p w:rsidR="00CD4F57" w:rsidRPr="00E34F7B" w:rsidRDefault="00CD4F57" w:rsidP="009A751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7B">
              <w:rPr>
                <w:rFonts w:ascii="Times New Roman" w:hAnsi="Times New Roman" w:cs="Times New Roman"/>
                <w:b/>
                <w:sz w:val="24"/>
                <w:szCs w:val="24"/>
              </w:rPr>
              <w:t>według wieku</w:t>
            </w:r>
          </w:p>
        </w:tc>
      </w:tr>
      <w:tr w:rsidR="00200FF0" w:rsidTr="00200FF0">
        <w:tc>
          <w:tcPr>
            <w:tcW w:w="3070" w:type="dxa"/>
          </w:tcPr>
          <w:p w:rsidR="00200FF0" w:rsidRDefault="009A7515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 roku życia</w:t>
            </w:r>
          </w:p>
        </w:tc>
        <w:tc>
          <w:tcPr>
            <w:tcW w:w="3071" w:type="dxa"/>
          </w:tcPr>
          <w:p w:rsidR="00200FF0" w:rsidRDefault="008701D2" w:rsidP="00124E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200FF0" w:rsidRDefault="00196A17" w:rsidP="00124E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200FF0" w:rsidTr="00200FF0">
        <w:tc>
          <w:tcPr>
            <w:tcW w:w="3070" w:type="dxa"/>
          </w:tcPr>
          <w:p w:rsidR="00200FF0" w:rsidRDefault="009A7515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31 do 49 r. ż.</w:t>
            </w:r>
          </w:p>
        </w:tc>
        <w:tc>
          <w:tcPr>
            <w:tcW w:w="3071" w:type="dxa"/>
          </w:tcPr>
          <w:p w:rsidR="00200FF0" w:rsidRDefault="00196A17" w:rsidP="00124E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1" w:type="dxa"/>
          </w:tcPr>
          <w:p w:rsidR="00200FF0" w:rsidRDefault="00196A17" w:rsidP="00124E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00FF0" w:rsidTr="00200FF0">
        <w:tc>
          <w:tcPr>
            <w:tcW w:w="3070" w:type="dxa"/>
          </w:tcPr>
          <w:p w:rsidR="00200FF0" w:rsidRDefault="009A7515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50 roku życia</w:t>
            </w:r>
          </w:p>
        </w:tc>
        <w:tc>
          <w:tcPr>
            <w:tcW w:w="3071" w:type="dxa"/>
          </w:tcPr>
          <w:p w:rsidR="00200FF0" w:rsidRDefault="00196A17" w:rsidP="00124E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1" w:type="dxa"/>
          </w:tcPr>
          <w:p w:rsidR="00200FF0" w:rsidRDefault="00196A17" w:rsidP="00124E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9A7515" w:rsidTr="00200FF0">
        <w:tc>
          <w:tcPr>
            <w:tcW w:w="3070" w:type="dxa"/>
          </w:tcPr>
          <w:p w:rsidR="009A7515" w:rsidRDefault="00124E20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3071" w:type="dxa"/>
          </w:tcPr>
          <w:p w:rsidR="009A7515" w:rsidRDefault="00124E20" w:rsidP="00124E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1" w:type="dxa"/>
          </w:tcPr>
          <w:p w:rsidR="009A7515" w:rsidRDefault="00124E20" w:rsidP="00124E2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D4F57" w:rsidTr="00214E65">
        <w:tc>
          <w:tcPr>
            <w:tcW w:w="9212" w:type="dxa"/>
            <w:gridSpan w:val="3"/>
          </w:tcPr>
          <w:p w:rsidR="00CD4F57" w:rsidRDefault="00CD4F57" w:rsidP="00E34F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według wykształcenia</w:t>
            </w:r>
          </w:p>
        </w:tc>
      </w:tr>
      <w:tr w:rsidR="009A7515" w:rsidTr="00200FF0">
        <w:tc>
          <w:tcPr>
            <w:tcW w:w="3070" w:type="dxa"/>
          </w:tcPr>
          <w:p w:rsidR="009A7515" w:rsidRDefault="00E34F7B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gimnazjalne i poniżej</w:t>
            </w:r>
          </w:p>
        </w:tc>
        <w:tc>
          <w:tcPr>
            <w:tcW w:w="3071" w:type="dxa"/>
          </w:tcPr>
          <w:p w:rsidR="009A7515" w:rsidRDefault="00E34F7B" w:rsidP="00E34F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1" w:type="dxa"/>
          </w:tcPr>
          <w:p w:rsidR="009A7515" w:rsidRDefault="00E34F7B" w:rsidP="00E34F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E34F7B" w:rsidTr="00200FF0">
        <w:tc>
          <w:tcPr>
            <w:tcW w:w="3070" w:type="dxa"/>
          </w:tcPr>
          <w:p w:rsidR="00E34F7B" w:rsidRDefault="00E34F7B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zasadnicze zawodowe</w:t>
            </w:r>
          </w:p>
        </w:tc>
        <w:tc>
          <w:tcPr>
            <w:tcW w:w="3071" w:type="dxa"/>
          </w:tcPr>
          <w:p w:rsidR="00E34F7B" w:rsidRDefault="00E34F7B" w:rsidP="00E34F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1" w:type="dxa"/>
          </w:tcPr>
          <w:p w:rsidR="00E34F7B" w:rsidRDefault="00E34F7B" w:rsidP="00E34F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E34F7B" w:rsidTr="00200FF0">
        <w:tc>
          <w:tcPr>
            <w:tcW w:w="3070" w:type="dxa"/>
          </w:tcPr>
          <w:p w:rsidR="00E34F7B" w:rsidRDefault="00E34F7B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 ogólnokształcące</w:t>
            </w:r>
          </w:p>
        </w:tc>
        <w:tc>
          <w:tcPr>
            <w:tcW w:w="3071" w:type="dxa"/>
          </w:tcPr>
          <w:p w:rsidR="00E34F7B" w:rsidRDefault="00E34F7B" w:rsidP="00E34F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:rsidR="00E34F7B" w:rsidRDefault="00E34F7B" w:rsidP="00E34F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E34F7B" w:rsidTr="00200FF0">
        <w:tc>
          <w:tcPr>
            <w:tcW w:w="3070" w:type="dxa"/>
          </w:tcPr>
          <w:p w:rsidR="00E34F7B" w:rsidRDefault="00E34F7B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 zawodowe</w:t>
            </w:r>
          </w:p>
        </w:tc>
        <w:tc>
          <w:tcPr>
            <w:tcW w:w="3071" w:type="dxa"/>
          </w:tcPr>
          <w:p w:rsidR="00E34F7B" w:rsidRDefault="00E34F7B" w:rsidP="00E34F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1" w:type="dxa"/>
          </w:tcPr>
          <w:p w:rsidR="00E34F7B" w:rsidRDefault="00E34F7B" w:rsidP="00E34F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4F7B" w:rsidTr="00200FF0">
        <w:tc>
          <w:tcPr>
            <w:tcW w:w="3070" w:type="dxa"/>
          </w:tcPr>
          <w:p w:rsidR="00E34F7B" w:rsidRDefault="00E34F7B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wyższe</w:t>
            </w:r>
          </w:p>
        </w:tc>
        <w:tc>
          <w:tcPr>
            <w:tcW w:w="3071" w:type="dxa"/>
          </w:tcPr>
          <w:p w:rsidR="00E34F7B" w:rsidRDefault="00E34F7B" w:rsidP="00E34F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1" w:type="dxa"/>
          </w:tcPr>
          <w:p w:rsidR="00E34F7B" w:rsidRDefault="00E34F7B" w:rsidP="00E34F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4F7B" w:rsidTr="00200FF0">
        <w:tc>
          <w:tcPr>
            <w:tcW w:w="3070" w:type="dxa"/>
          </w:tcPr>
          <w:p w:rsidR="00E34F7B" w:rsidRDefault="00E34F7B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3071" w:type="dxa"/>
          </w:tcPr>
          <w:p w:rsidR="00E34F7B" w:rsidRDefault="00E34F7B" w:rsidP="00E34F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1" w:type="dxa"/>
          </w:tcPr>
          <w:p w:rsidR="00E34F7B" w:rsidRDefault="00E34F7B" w:rsidP="00E34F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D4F57" w:rsidTr="006B6F06">
        <w:tc>
          <w:tcPr>
            <w:tcW w:w="9212" w:type="dxa"/>
            <w:gridSpan w:val="3"/>
          </w:tcPr>
          <w:p w:rsidR="00CD4F57" w:rsidRDefault="00CD4F57" w:rsidP="00F77FE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77">
              <w:rPr>
                <w:rFonts w:ascii="Times New Roman" w:hAnsi="Times New Roman" w:cs="Times New Roman"/>
                <w:b/>
                <w:sz w:val="24"/>
                <w:szCs w:val="24"/>
              </w:rPr>
              <w:t>według czasu pozostawania bez pracy</w:t>
            </w:r>
          </w:p>
        </w:tc>
      </w:tr>
      <w:tr w:rsidR="00F77FE2" w:rsidTr="00200FF0">
        <w:tc>
          <w:tcPr>
            <w:tcW w:w="3070" w:type="dxa"/>
          </w:tcPr>
          <w:p w:rsidR="00F77FE2" w:rsidRDefault="00DC497B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6 miesięcy</w:t>
            </w:r>
          </w:p>
        </w:tc>
        <w:tc>
          <w:tcPr>
            <w:tcW w:w="3071" w:type="dxa"/>
          </w:tcPr>
          <w:p w:rsidR="00F77FE2" w:rsidRDefault="00DC497B" w:rsidP="00DC49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:rsidR="00F77FE2" w:rsidRDefault="00DA0F17" w:rsidP="00DC49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77FE2" w:rsidTr="00200FF0">
        <w:tc>
          <w:tcPr>
            <w:tcW w:w="3070" w:type="dxa"/>
          </w:tcPr>
          <w:p w:rsidR="00F77FE2" w:rsidRDefault="00DC497B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6 do 12 miesięcy</w:t>
            </w:r>
          </w:p>
        </w:tc>
        <w:tc>
          <w:tcPr>
            <w:tcW w:w="3071" w:type="dxa"/>
          </w:tcPr>
          <w:p w:rsidR="00F77FE2" w:rsidRDefault="00DC497B" w:rsidP="00DC49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:rsidR="00F77FE2" w:rsidRDefault="00DA0F17" w:rsidP="00DC49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F77FE2" w:rsidTr="00200FF0">
        <w:tc>
          <w:tcPr>
            <w:tcW w:w="3070" w:type="dxa"/>
          </w:tcPr>
          <w:p w:rsidR="00F77FE2" w:rsidRDefault="00DC497B" w:rsidP="00DC497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12 miesięcy</w:t>
            </w:r>
          </w:p>
        </w:tc>
        <w:tc>
          <w:tcPr>
            <w:tcW w:w="3071" w:type="dxa"/>
          </w:tcPr>
          <w:p w:rsidR="00F77FE2" w:rsidRDefault="00DC497B" w:rsidP="00DC49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1" w:type="dxa"/>
          </w:tcPr>
          <w:p w:rsidR="00F77FE2" w:rsidRDefault="00DA0F17" w:rsidP="00DC49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F77FE2" w:rsidTr="00200FF0">
        <w:tc>
          <w:tcPr>
            <w:tcW w:w="3070" w:type="dxa"/>
          </w:tcPr>
          <w:p w:rsidR="00F77FE2" w:rsidRDefault="00DC497B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3071" w:type="dxa"/>
          </w:tcPr>
          <w:p w:rsidR="00F77FE2" w:rsidRDefault="00DC497B" w:rsidP="00DC49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1" w:type="dxa"/>
          </w:tcPr>
          <w:p w:rsidR="00F77FE2" w:rsidRDefault="00DC497B" w:rsidP="00DC49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D4F57" w:rsidTr="00A34C4D">
        <w:tc>
          <w:tcPr>
            <w:tcW w:w="9212" w:type="dxa"/>
            <w:gridSpan w:val="3"/>
          </w:tcPr>
          <w:p w:rsidR="00CD4F57" w:rsidRDefault="00CD4F57" w:rsidP="00DC49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CB">
              <w:rPr>
                <w:rFonts w:ascii="Times New Roman" w:hAnsi="Times New Roman" w:cs="Times New Roman"/>
                <w:b/>
                <w:sz w:val="24"/>
                <w:szCs w:val="24"/>
              </w:rPr>
              <w:t>według stażu pracy</w:t>
            </w:r>
          </w:p>
        </w:tc>
      </w:tr>
      <w:tr w:rsidR="00DC497B" w:rsidTr="00200FF0">
        <w:tc>
          <w:tcPr>
            <w:tcW w:w="3070" w:type="dxa"/>
          </w:tcPr>
          <w:p w:rsidR="00DC497B" w:rsidRDefault="00F801CB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 roku</w:t>
            </w:r>
          </w:p>
        </w:tc>
        <w:tc>
          <w:tcPr>
            <w:tcW w:w="3071" w:type="dxa"/>
          </w:tcPr>
          <w:p w:rsidR="00DC497B" w:rsidRDefault="00F801CB" w:rsidP="00F801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:rsidR="00DC497B" w:rsidRDefault="0090252B" w:rsidP="00F801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DC497B" w:rsidTr="00200FF0">
        <w:tc>
          <w:tcPr>
            <w:tcW w:w="3070" w:type="dxa"/>
          </w:tcPr>
          <w:p w:rsidR="00DC497B" w:rsidRDefault="00F801CB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 roku do 5 lat</w:t>
            </w:r>
          </w:p>
        </w:tc>
        <w:tc>
          <w:tcPr>
            <w:tcW w:w="3071" w:type="dxa"/>
          </w:tcPr>
          <w:p w:rsidR="00DC497B" w:rsidRDefault="00F801CB" w:rsidP="00F801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1" w:type="dxa"/>
          </w:tcPr>
          <w:p w:rsidR="00DC497B" w:rsidRDefault="0090252B" w:rsidP="00F801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F801CB" w:rsidTr="00200FF0">
        <w:tc>
          <w:tcPr>
            <w:tcW w:w="3070" w:type="dxa"/>
          </w:tcPr>
          <w:p w:rsidR="00F801CB" w:rsidRDefault="00F801CB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5 do 10 lat</w:t>
            </w:r>
          </w:p>
        </w:tc>
        <w:tc>
          <w:tcPr>
            <w:tcW w:w="3071" w:type="dxa"/>
          </w:tcPr>
          <w:p w:rsidR="00F801CB" w:rsidRDefault="00F801CB" w:rsidP="00F801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F801CB" w:rsidRDefault="0090252B" w:rsidP="00F801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F801CB" w:rsidTr="00200FF0">
        <w:tc>
          <w:tcPr>
            <w:tcW w:w="3070" w:type="dxa"/>
          </w:tcPr>
          <w:p w:rsidR="00F801CB" w:rsidRDefault="00F801CB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10 do 20 lat</w:t>
            </w:r>
          </w:p>
        </w:tc>
        <w:tc>
          <w:tcPr>
            <w:tcW w:w="3071" w:type="dxa"/>
          </w:tcPr>
          <w:p w:rsidR="00F801CB" w:rsidRDefault="00F801CB" w:rsidP="00F801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:rsidR="00F801CB" w:rsidRDefault="0090252B" w:rsidP="00F801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F801CB" w:rsidTr="00200FF0">
        <w:tc>
          <w:tcPr>
            <w:tcW w:w="3070" w:type="dxa"/>
          </w:tcPr>
          <w:p w:rsidR="00F801CB" w:rsidRDefault="00F801CB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20 lat</w:t>
            </w:r>
          </w:p>
        </w:tc>
        <w:tc>
          <w:tcPr>
            <w:tcW w:w="3071" w:type="dxa"/>
          </w:tcPr>
          <w:p w:rsidR="00F801CB" w:rsidRDefault="00F801CB" w:rsidP="00F801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:rsidR="00F801CB" w:rsidRDefault="0090252B" w:rsidP="00F801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F801CB" w:rsidTr="00200FF0">
        <w:tc>
          <w:tcPr>
            <w:tcW w:w="3070" w:type="dxa"/>
          </w:tcPr>
          <w:p w:rsidR="00F801CB" w:rsidRDefault="00F801CB" w:rsidP="00353C2A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3071" w:type="dxa"/>
          </w:tcPr>
          <w:p w:rsidR="00F801CB" w:rsidRDefault="00F801CB" w:rsidP="00F801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1" w:type="dxa"/>
          </w:tcPr>
          <w:p w:rsidR="00F801CB" w:rsidRDefault="00F801CB" w:rsidP="00F801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B00E3" w:rsidRPr="003D5207" w:rsidRDefault="00221BD5" w:rsidP="00353C2A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D5207">
        <w:rPr>
          <w:rFonts w:ascii="Times New Roman" w:hAnsi="Times New Roman" w:cs="Times New Roman"/>
          <w:sz w:val="20"/>
          <w:szCs w:val="20"/>
        </w:rPr>
        <w:t>Źródło: opracowanie własne</w:t>
      </w:r>
    </w:p>
    <w:p w:rsidR="00FB00E3" w:rsidRDefault="00FB00E3" w:rsidP="0045545A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0306C" w:rsidRDefault="0060306C" w:rsidP="0060306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Wśród uczestników dominowały osoby z wykształceniem zasadniczym zawodowym i niższym (83,4% wszystkich uczestników programu), pozostający w ewidencji bezrobotnych 12 miesięcy i więcej (58,3% wszystkich uczestników programu). Wszyscy zarejestrowani 12 miesięcy i więcej posiadali statu</w:t>
      </w:r>
      <w:r w:rsidR="000A45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długotrwale bezrobotnego.</w:t>
      </w:r>
      <w:r w:rsidR="001A3D2F">
        <w:rPr>
          <w:rFonts w:ascii="Times New Roman" w:hAnsi="Times New Roman" w:cs="Times New Roman"/>
          <w:sz w:val="24"/>
          <w:szCs w:val="24"/>
        </w:rPr>
        <w:t xml:space="preserve"> Kwalifikacji zawodowych nie posiadało 4 uczestników. Orzeczenie o stopniu niepełnosprawności posiadało 2 uczestników.</w:t>
      </w:r>
    </w:p>
    <w:p w:rsidR="0060306C" w:rsidRDefault="0060306C" w:rsidP="0060306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08ED" w:rsidRDefault="00C33491" w:rsidP="0045545A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etap: </w:t>
      </w:r>
      <w:r w:rsidRPr="009D2C3E">
        <w:rPr>
          <w:rFonts w:ascii="Times New Roman" w:hAnsi="Times New Roman" w:cs="Times New Roman"/>
          <w:i/>
          <w:color w:val="943634" w:themeColor="accent2" w:themeShade="BF"/>
          <w:sz w:val="24"/>
          <w:szCs w:val="24"/>
        </w:rPr>
        <w:t>doradczy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491" w:rsidRDefault="003508ED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ten realizowany był w formie</w:t>
      </w:r>
      <w:r w:rsidR="00C33491">
        <w:rPr>
          <w:rFonts w:ascii="Times New Roman" w:hAnsi="Times New Roman" w:cs="Times New Roman"/>
          <w:sz w:val="24"/>
          <w:szCs w:val="24"/>
        </w:rPr>
        <w:t xml:space="preserve"> indywidualnych spotkaniach z doradcą zawodowym oraz</w:t>
      </w:r>
      <w:r>
        <w:rPr>
          <w:rFonts w:ascii="Times New Roman" w:hAnsi="Times New Roman" w:cs="Times New Roman"/>
          <w:sz w:val="24"/>
          <w:szCs w:val="24"/>
        </w:rPr>
        <w:t xml:space="preserve"> dalej</w:t>
      </w:r>
      <w:r w:rsidR="00C33491">
        <w:rPr>
          <w:rFonts w:ascii="Times New Roman" w:hAnsi="Times New Roman" w:cs="Times New Roman"/>
          <w:sz w:val="24"/>
          <w:szCs w:val="24"/>
        </w:rPr>
        <w:t xml:space="preserve"> objęciu uczestników szkoleniem motywacyjnym w formie gry dydaktyczno- symulacyjne</w:t>
      </w:r>
      <w:r>
        <w:rPr>
          <w:rFonts w:ascii="Times New Roman" w:hAnsi="Times New Roman" w:cs="Times New Roman"/>
          <w:sz w:val="24"/>
          <w:szCs w:val="24"/>
        </w:rPr>
        <w:t>j</w:t>
      </w:r>
      <w:r w:rsidR="00C33491">
        <w:rPr>
          <w:rFonts w:ascii="Times New Roman" w:hAnsi="Times New Roman" w:cs="Times New Roman"/>
          <w:sz w:val="24"/>
          <w:szCs w:val="24"/>
        </w:rPr>
        <w:t xml:space="preserve"> oddającej sytuacje związane z rynkiem pracy. Szkolenie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33491">
        <w:rPr>
          <w:rFonts w:ascii="Times New Roman" w:hAnsi="Times New Roman" w:cs="Times New Roman"/>
          <w:sz w:val="24"/>
          <w:szCs w:val="24"/>
        </w:rPr>
        <w:t xml:space="preserve">realizowała jednostka wybrana zgodnie z ustawą </w:t>
      </w:r>
      <w:proofErr w:type="spellStart"/>
      <w:r w:rsidR="00C3349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6598D">
        <w:rPr>
          <w:rFonts w:ascii="Times New Roman" w:hAnsi="Times New Roman" w:cs="Times New Roman"/>
          <w:sz w:val="24"/>
          <w:szCs w:val="24"/>
        </w:rPr>
        <w:t>, Agencja Analiz i Doradztwa Personalnego „</w:t>
      </w:r>
      <w:proofErr w:type="spellStart"/>
      <w:r w:rsidR="0076598D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="00765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98D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="0076598D">
        <w:rPr>
          <w:rFonts w:ascii="Times New Roman" w:hAnsi="Times New Roman" w:cs="Times New Roman"/>
          <w:sz w:val="24"/>
          <w:szCs w:val="24"/>
        </w:rPr>
        <w:t xml:space="preserve"> Group” z Bydgoszczy</w:t>
      </w:r>
      <w:r w:rsidR="00C33491">
        <w:rPr>
          <w:rFonts w:ascii="Times New Roman" w:hAnsi="Times New Roman" w:cs="Times New Roman"/>
          <w:sz w:val="24"/>
          <w:szCs w:val="24"/>
        </w:rPr>
        <w:t>. Warsztaty realizowane były od 14.09.2015 r. do 19.09.2015 r.</w:t>
      </w:r>
      <w:r w:rsidR="00EE42D0">
        <w:rPr>
          <w:rFonts w:ascii="Times New Roman" w:hAnsi="Times New Roman" w:cs="Times New Roman"/>
          <w:sz w:val="24"/>
          <w:szCs w:val="24"/>
        </w:rPr>
        <w:t xml:space="preserve"> </w:t>
      </w:r>
      <w:r w:rsidR="00814531">
        <w:rPr>
          <w:rFonts w:ascii="Times New Roman" w:hAnsi="Times New Roman" w:cs="Times New Roman"/>
          <w:sz w:val="24"/>
          <w:szCs w:val="24"/>
        </w:rPr>
        <w:t xml:space="preserve">(40 godzin) </w:t>
      </w:r>
      <w:r w:rsidR="00EE42D0">
        <w:rPr>
          <w:rFonts w:ascii="Times New Roman" w:hAnsi="Times New Roman" w:cs="Times New Roman"/>
          <w:sz w:val="24"/>
          <w:szCs w:val="24"/>
        </w:rPr>
        <w:t>na terenie Gminy Gostycyn</w:t>
      </w:r>
      <w:r>
        <w:rPr>
          <w:rFonts w:ascii="Times New Roman" w:hAnsi="Times New Roman" w:cs="Times New Roman"/>
          <w:sz w:val="24"/>
          <w:szCs w:val="24"/>
        </w:rPr>
        <w:t xml:space="preserve"> dla 12 uczestników programu</w:t>
      </w:r>
      <w:r w:rsidR="00EE42D0">
        <w:rPr>
          <w:rFonts w:ascii="Times New Roman" w:hAnsi="Times New Roman" w:cs="Times New Roman"/>
          <w:sz w:val="24"/>
          <w:szCs w:val="24"/>
        </w:rPr>
        <w:t>.</w:t>
      </w:r>
      <w:r w:rsidR="0011148F">
        <w:rPr>
          <w:rFonts w:ascii="Times New Roman" w:hAnsi="Times New Roman" w:cs="Times New Roman"/>
          <w:sz w:val="24"/>
          <w:szCs w:val="24"/>
        </w:rPr>
        <w:t xml:space="preserve"> Program szkolenia obejmował następujące obszary tematyczne:</w:t>
      </w:r>
    </w:p>
    <w:p w:rsidR="0011148F" w:rsidRDefault="0011148F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Rozwijanie umiejętności współpracy w grupie.</w:t>
      </w:r>
    </w:p>
    <w:p w:rsidR="0011148F" w:rsidRDefault="0011148F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Gra </w:t>
      </w:r>
      <w:r w:rsidRPr="0011148F">
        <w:rPr>
          <w:rFonts w:ascii="Times New Roman" w:hAnsi="Times New Roman" w:cs="Times New Roman"/>
          <w:i/>
          <w:sz w:val="24"/>
          <w:szCs w:val="24"/>
        </w:rPr>
        <w:t>Jak i gdzie</w:t>
      </w:r>
      <w:r>
        <w:rPr>
          <w:rFonts w:ascii="Times New Roman" w:hAnsi="Times New Roman" w:cs="Times New Roman"/>
          <w:sz w:val="24"/>
          <w:szCs w:val="24"/>
        </w:rPr>
        <w:t xml:space="preserve"> – rozwijanie umiejętności poszukiwania pracy.</w:t>
      </w:r>
    </w:p>
    <w:p w:rsidR="0011148F" w:rsidRDefault="0011148F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Gra </w:t>
      </w:r>
      <w:r w:rsidRPr="0011148F">
        <w:rPr>
          <w:rFonts w:ascii="Times New Roman" w:hAnsi="Times New Roman" w:cs="Times New Roman"/>
          <w:i/>
          <w:sz w:val="24"/>
          <w:szCs w:val="24"/>
        </w:rPr>
        <w:t>Dylematy badacza</w:t>
      </w:r>
      <w:r>
        <w:rPr>
          <w:rFonts w:ascii="Times New Roman" w:hAnsi="Times New Roman" w:cs="Times New Roman"/>
          <w:sz w:val="24"/>
          <w:szCs w:val="24"/>
        </w:rPr>
        <w:t xml:space="preserve"> – pogłębianie wiedzy o rynku pracy.</w:t>
      </w:r>
    </w:p>
    <w:p w:rsidR="0011148F" w:rsidRDefault="0011148F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Umiejętne tworzenie dokumentów aplikacyjnych.</w:t>
      </w:r>
    </w:p>
    <w:p w:rsidR="0011148F" w:rsidRDefault="0011148F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Gra </w:t>
      </w:r>
      <w:r w:rsidRPr="0011148F">
        <w:rPr>
          <w:rFonts w:ascii="Times New Roman" w:hAnsi="Times New Roman" w:cs="Times New Roman"/>
          <w:i/>
          <w:sz w:val="24"/>
          <w:szCs w:val="24"/>
        </w:rPr>
        <w:t>Długi rejs</w:t>
      </w:r>
      <w:r>
        <w:rPr>
          <w:rFonts w:ascii="Times New Roman" w:hAnsi="Times New Roman" w:cs="Times New Roman"/>
          <w:sz w:val="24"/>
          <w:szCs w:val="24"/>
        </w:rPr>
        <w:t xml:space="preserve"> – planowanie własnej kariery zawodowej.</w:t>
      </w:r>
    </w:p>
    <w:p w:rsidR="0011148F" w:rsidRDefault="0011148F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Gra </w:t>
      </w:r>
      <w:r w:rsidRPr="0011148F">
        <w:rPr>
          <w:rFonts w:ascii="Times New Roman" w:hAnsi="Times New Roman" w:cs="Times New Roman"/>
          <w:i/>
          <w:sz w:val="24"/>
          <w:szCs w:val="24"/>
        </w:rPr>
        <w:t>Koło życia</w:t>
      </w:r>
      <w:r>
        <w:rPr>
          <w:rFonts w:ascii="Times New Roman" w:hAnsi="Times New Roman" w:cs="Times New Roman"/>
          <w:sz w:val="24"/>
          <w:szCs w:val="24"/>
        </w:rPr>
        <w:t xml:space="preserve"> – zamiana i sposoby radzenia sobie ze zmianą.</w:t>
      </w:r>
    </w:p>
    <w:p w:rsidR="0011148F" w:rsidRDefault="0011148F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Gra </w:t>
      </w:r>
      <w:r w:rsidRPr="0011148F">
        <w:rPr>
          <w:rFonts w:ascii="Times New Roman" w:hAnsi="Times New Roman" w:cs="Times New Roman"/>
          <w:i/>
          <w:sz w:val="24"/>
          <w:szCs w:val="24"/>
        </w:rPr>
        <w:t>Bazar</w:t>
      </w:r>
      <w:r>
        <w:rPr>
          <w:rFonts w:ascii="Times New Roman" w:hAnsi="Times New Roman" w:cs="Times New Roman"/>
          <w:sz w:val="24"/>
          <w:szCs w:val="24"/>
        </w:rPr>
        <w:t xml:space="preserve"> – poznanie swoich mocnych stron i zasobów jako element ułatwiający dostosowanie do zmiany.</w:t>
      </w:r>
    </w:p>
    <w:p w:rsidR="0011148F" w:rsidRDefault="0011148F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Gra </w:t>
      </w:r>
      <w:r w:rsidRPr="0011148F">
        <w:rPr>
          <w:rFonts w:ascii="Times New Roman" w:hAnsi="Times New Roman" w:cs="Times New Roman"/>
          <w:i/>
          <w:sz w:val="24"/>
          <w:szCs w:val="24"/>
        </w:rPr>
        <w:t>Odwrócona perspektywa</w:t>
      </w:r>
      <w:r>
        <w:rPr>
          <w:rFonts w:ascii="Times New Roman" w:hAnsi="Times New Roman" w:cs="Times New Roman"/>
          <w:sz w:val="24"/>
          <w:szCs w:val="24"/>
        </w:rPr>
        <w:t xml:space="preserve"> – nawiązanie kontaktu z pracodawcą, rozmowa kwalifikacyjna.</w:t>
      </w:r>
    </w:p>
    <w:p w:rsidR="0011148F" w:rsidRDefault="0011148F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64AB0">
        <w:rPr>
          <w:rFonts w:ascii="Times New Roman" w:hAnsi="Times New Roman" w:cs="Times New Roman"/>
          <w:sz w:val="24"/>
          <w:szCs w:val="24"/>
        </w:rPr>
        <w:t>Gra Jakie mam spostrzeżenia – diagnoza ról zespołowych oraz ich znaczenie w procesie poszukiwania pracy.</w:t>
      </w:r>
    </w:p>
    <w:p w:rsidR="00814531" w:rsidRDefault="00464AB0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Gra </w:t>
      </w:r>
      <w:proofErr w:type="spellStart"/>
      <w:r w:rsidRPr="00464AB0">
        <w:rPr>
          <w:rFonts w:ascii="Times New Roman" w:hAnsi="Times New Roman" w:cs="Times New Roman"/>
          <w:i/>
          <w:sz w:val="24"/>
          <w:szCs w:val="24"/>
        </w:rPr>
        <w:t>Drakula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diagnoza własnej motywacji, czynniki motywujące i demotywujące, umiejscowienie kontroli.</w:t>
      </w:r>
    </w:p>
    <w:p w:rsidR="0011148F" w:rsidRDefault="00ED5F65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Wszyscy uczestnicy bardzo wysoko ocenili zarówno szkolenie jak i trenerów prowadzących szkolenia.</w:t>
      </w:r>
    </w:p>
    <w:p w:rsidR="00814531" w:rsidRDefault="00814531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08ED" w:rsidRDefault="00814531" w:rsidP="00814531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zakończeniu szkolenia jednostka przygotowała indywidualne opinie dla każdego uczestnika zajęć. W opinii zawarte zostały informacje o zaobserwowanym poziomie zaangażowania w zajęcia </w:t>
      </w:r>
      <w:r w:rsidR="0079618F">
        <w:rPr>
          <w:rFonts w:ascii="Times New Roman" w:hAnsi="Times New Roman" w:cs="Times New Roman"/>
          <w:sz w:val="24"/>
          <w:szCs w:val="24"/>
        </w:rPr>
        <w:t>, poziomie motywacji uczestnika do podjęcia pracy oraz gotowości do zmiany swojej sytuacji na rynku pracy. Opracowane opinie ułatwiły doradcy zawodowemu</w:t>
      </w:r>
      <w:r w:rsidR="003508ED">
        <w:rPr>
          <w:rFonts w:ascii="Times New Roman" w:hAnsi="Times New Roman" w:cs="Times New Roman"/>
          <w:sz w:val="24"/>
          <w:szCs w:val="24"/>
        </w:rPr>
        <w:t xml:space="preserve"> </w:t>
      </w:r>
      <w:r w:rsidR="0079618F">
        <w:rPr>
          <w:rFonts w:ascii="Times New Roman" w:hAnsi="Times New Roman" w:cs="Times New Roman"/>
          <w:sz w:val="24"/>
          <w:szCs w:val="24"/>
        </w:rPr>
        <w:t>wybór 10 osób, które zakwalifikowane zostały</w:t>
      </w:r>
      <w:r w:rsidR="003508ED">
        <w:rPr>
          <w:rFonts w:ascii="Times New Roman" w:hAnsi="Times New Roman" w:cs="Times New Roman"/>
          <w:sz w:val="24"/>
          <w:szCs w:val="24"/>
        </w:rPr>
        <w:t xml:space="preserve"> do dalszego etapu programu.</w:t>
      </w:r>
    </w:p>
    <w:p w:rsidR="00FC38CE" w:rsidRDefault="00FC38CE" w:rsidP="00353C2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AB7" w:rsidRDefault="00C33491" w:rsidP="0045545A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III etapu </w:t>
      </w:r>
      <w:r w:rsidRPr="003508ED">
        <w:rPr>
          <w:rFonts w:ascii="Times New Roman" w:hAnsi="Times New Roman" w:cs="Times New Roman"/>
          <w:i/>
          <w:color w:val="943634" w:themeColor="accent2" w:themeShade="BF"/>
          <w:sz w:val="24"/>
          <w:szCs w:val="24"/>
        </w:rPr>
        <w:t>szkolenia zawodowe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8CE" w:rsidRDefault="00C33491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tego etapu zrealizowane </w:t>
      </w:r>
      <w:r w:rsidR="00324AB7">
        <w:rPr>
          <w:rFonts w:ascii="Times New Roman" w:hAnsi="Times New Roman" w:cs="Times New Roman"/>
          <w:sz w:val="24"/>
          <w:szCs w:val="24"/>
        </w:rPr>
        <w:t xml:space="preserve"> zostały </w:t>
      </w:r>
      <w:r w:rsidR="00836E87">
        <w:rPr>
          <w:rFonts w:ascii="Times New Roman" w:hAnsi="Times New Roman" w:cs="Times New Roman"/>
          <w:sz w:val="24"/>
          <w:szCs w:val="24"/>
        </w:rPr>
        <w:t xml:space="preserve">2 szkolenia zawodowe: </w:t>
      </w:r>
      <w:r w:rsidR="00836E87" w:rsidRPr="00836E87">
        <w:rPr>
          <w:rFonts w:ascii="Times New Roman" w:hAnsi="Times New Roman" w:cs="Times New Roman"/>
          <w:i/>
          <w:sz w:val="24"/>
          <w:szCs w:val="24"/>
        </w:rPr>
        <w:t>P</w:t>
      </w:r>
      <w:r w:rsidRPr="00836E87">
        <w:rPr>
          <w:rFonts w:ascii="Times New Roman" w:hAnsi="Times New Roman" w:cs="Times New Roman"/>
          <w:i/>
          <w:sz w:val="24"/>
          <w:szCs w:val="24"/>
        </w:rPr>
        <w:t>racownik robót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E87">
        <w:rPr>
          <w:rFonts w:ascii="Times New Roman" w:hAnsi="Times New Roman" w:cs="Times New Roman"/>
          <w:i/>
          <w:sz w:val="24"/>
          <w:szCs w:val="24"/>
        </w:rPr>
        <w:t>wykończeniowych</w:t>
      </w:r>
      <w:r w:rsidR="00836E87">
        <w:rPr>
          <w:rFonts w:ascii="Times New Roman" w:hAnsi="Times New Roman" w:cs="Times New Roman"/>
          <w:sz w:val="24"/>
          <w:szCs w:val="24"/>
        </w:rPr>
        <w:t xml:space="preserve"> dla 5 osób oraz </w:t>
      </w:r>
      <w:r w:rsidR="00836E87" w:rsidRPr="00836E87">
        <w:rPr>
          <w:rFonts w:ascii="Times New Roman" w:hAnsi="Times New Roman" w:cs="Times New Roman"/>
          <w:i/>
          <w:sz w:val="24"/>
          <w:szCs w:val="24"/>
        </w:rPr>
        <w:t>M</w:t>
      </w:r>
      <w:r w:rsidRPr="00836E87">
        <w:rPr>
          <w:rFonts w:ascii="Times New Roman" w:hAnsi="Times New Roman" w:cs="Times New Roman"/>
          <w:i/>
          <w:sz w:val="24"/>
          <w:szCs w:val="24"/>
        </w:rPr>
        <w:t>onter instalacji WOD</w:t>
      </w:r>
      <w:r w:rsidR="00324AB7" w:rsidRPr="00836E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6E87">
        <w:rPr>
          <w:rFonts w:ascii="Times New Roman" w:hAnsi="Times New Roman" w:cs="Times New Roman"/>
          <w:i/>
          <w:sz w:val="24"/>
          <w:szCs w:val="24"/>
        </w:rPr>
        <w:t>–</w:t>
      </w:r>
      <w:r w:rsidRPr="00836E87">
        <w:rPr>
          <w:rFonts w:ascii="Times New Roman" w:hAnsi="Times New Roman" w:cs="Times New Roman"/>
          <w:i/>
          <w:sz w:val="24"/>
          <w:szCs w:val="24"/>
        </w:rPr>
        <w:t xml:space="preserve"> KAN</w:t>
      </w:r>
      <w:r w:rsidR="00836E87">
        <w:rPr>
          <w:rFonts w:ascii="Times New Roman" w:hAnsi="Times New Roman" w:cs="Times New Roman"/>
          <w:sz w:val="24"/>
          <w:szCs w:val="24"/>
        </w:rPr>
        <w:t xml:space="preserve"> </w:t>
      </w:r>
      <w:r w:rsidR="00836E87" w:rsidRPr="00836E87">
        <w:rPr>
          <w:rFonts w:ascii="Times New Roman" w:hAnsi="Times New Roman" w:cs="Times New Roman"/>
          <w:i/>
          <w:sz w:val="24"/>
          <w:szCs w:val="24"/>
        </w:rPr>
        <w:t>i C.O.</w:t>
      </w:r>
      <w:r w:rsidR="00836E87">
        <w:rPr>
          <w:rFonts w:ascii="Times New Roman" w:hAnsi="Times New Roman" w:cs="Times New Roman"/>
          <w:sz w:val="24"/>
          <w:szCs w:val="24"/>
        </w:rPr>
        <w:t xml:space="preserve"> </w:t>
      </w:r>
      <w:r w:rsidR="00836E87" w:rsidRPr="00836E87">
        <w:rPr>
          <w:rFonts w:ascii="Times New Roman" w:hAnsi="Times New Roman" w:cs="Times New Roman"/>
          <w:i/>
          <w:sz w:val="24"/>
          <w:szCs w:val="24"/>
        </w:rPr>
        <w:t>z uprawnieniami</w:t>
      </w:r>
      <w:r w:rsidR="00836E87">
        <w:rPr>
          <w:rFonts w:ascii="Times New Roman" w:hAnsi="Times New Roman" w:cs="Times New Roman"/>
          <w:sz w:val="24"/>
          <w:szCs w:val="24"/>
        </w:rPr>
        <w:t xml:space="preserve"> </w:t>
      </w:r>
      <w:r w:rsidR="00836E87" w:rsidRPr="00836E87">
        <w:rPr>
          <w:rFonts w:ascii="Times New Roman" w:hAnsi="Times New Roman" w:cs="Times New Roman"/>
          <w:i/>
          <w:sz w:val="24"/>
          <w:szCs w:val="24"/>
        </w:rPr>
        <w:t>spawalniczymi</w:t>
      </w:r>
      <w:r>
        <w:rPr>
          <w:rFonts w:ascii="Times New Roman" w:hAnsi="Times New Roman" w:cs="Times New Roman"/>
          <w:sz w:val="24"/>
          <w:szCs w:val="24"/>
        </w:rPr>
        <w:t xml:space="preserve"> dla 5 </w:t>
      </w:r>
      <w:r w:rsidR="00324AB7">
        <w:rPr>
          <w:rFonts w:ascii="Times New Roman" w:hAnsi="Times New Roman" w:cs="Times New Roman"/>
          <w:sz w:val="24"/>
          <w:szCs w:val="24"/>
        </w:rPr>
        <w:t>osób</w:t>
      </w:r>
      <w:r>
        <w:rPr>
          <w:rFonts w:ascii="Times New Roman" w:hAnsi="Times New Roman" w:cs="Times New Roman"/>
          <w:sz w:val="24"/>
          <w:szCs w:val="24"/>
        </w:rPr>
        <w:t xml:space="preserve">. Szkolenia zawodowe realizowane </w:t>
      </w:r>
      <w:r w:rsidR="00FC38CE">
        <w:rPr>
          <w:rFonts w:ascii="Times New Roman" w:hAnsi="Times New Roman" w:cs="Times New Roman"/>
          <w:sz w:val="24"/>
          <w:szCs w:val="24"/>
        </w:rPr>
        <w:t>były od 29.09.2015 r. do 16</w:t>
      </w:r>
      <w:r>
        <w:rPr>
          <w:rFonts w:ascii="Times New Roman" w:hAnsi="Times New Roman" w:cs="Times New Roman"/>
          <w:sz w:val="24"/>
          <w:szCs w:val="24"/>
        </w:rPr>
        <w:t>.11.2015 r.</w:t>
      </w:r>
      <w:r w:rsidR="00EE42D0">
        <w:rPr>
          <w:rFonts w:ascii="Times New Roman" w:hAnsi="Times New Roman" w:cs="Times New Roman"/>
          <w:sz w:val="24"/>
          <w:szCs w:val="24"/>
        </w:rPr>
        <w:t xml:space="preserve"> Szkolenia</w:t>
      </w:r>
      <w:r>
        <w:rPr>
          <w:rFonts w:ascii="Times New Roman" w:hAnsi="Times New Roman" w:cs="Times New Roman"/>
          <w:sz w:val="24"/>
          <w:szCs w:val="24"/>
        </w:rPr>
        <w:t xml:space="preserve"> realizowane było na terenie Gminy Gostycyn, w miejscowości Kamienica.</w:t>
      </w:r>
      <w:r w:rsidR="00EE4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62D" w:rsidRDefault="004C762D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B5EAA" w:rsidRDefault="00B2443C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</w:t>
      </w:r>
      <w:r w:rsidR="009B5EAA">
        <w:rPr>
          <w:rFonts w:ascii="Times New Roman" w:hAnsi="Times New Roman" w:cs="Times New Roman"/>
          <w:sz w:val="24"/>
          <w:szCs w:val="24"/>
        </w:rPr>
        <w:t>urs</w:t>
      </w:r>
      <w:r>
        <w:rPr>
          <w:rFonts w:ascii="Times New Roman" w:hAnsi="Times New Roman" w:cs="Times New Roman"/>
          <w:sz w:val="24"/>
          <w:szCs w:val="24"/>
        </w:rPr>
        <w:t>u</w:t>
      </w:r>
      <w:r w:rsidR="009B5EAA">
        <w:rPr>
          <w:rFonts w:ascii="Times New Roman" w:hAnsi="Times New Roman" w:cs="Times New Roman"/>
          <w:sz w:val="24"/>
          <w:szCs w:val="24"/>
        </w:rPr>
        <w:t xml:space="preserve"> </w:t>
      </w:r>
      <w:r w:rsidRPr="00B2443C">
        <w:rPr>
          <w:rFonts w:ascii="Times New Roman" w:hAnsi="Times New Roman" w:cs="Times New Roman"/>
          <w:i/>
          <w:sz w:val="24"/>
          <w:szCs w:val="24"/>
        </w:rPr>
        <w:t>M</w:t>
      </w:r>
      <w:r w:rsidR="009B5EAA" w:rsidRPr="00B2443C">
        <w:rPr>
          <w:rFonts w:ascii="Times New Roman" w:hAnsi="Times New Roman" w:cs="Times New Roman"/>
          <w:i/>
          <w:sz w:val="24"/>
          <w:szCs w:val="24"/>
        </w:rPr>
        <w:t xml:space="preserve">onter instalacji </w:t>
      </w:r>
      <w:proofErr w:type="spellStart"/>
      <w:r w:rsidR="009B5EAA" w:rsidRPr="00B2443C">
        <w:rPr>
          <w:rFonts w:ascii="Times New Roman" w:hAnsi="Times New Roman" w:cs="Times New Roman"/>
          <w:i/>
          <w:sz w:val="24"/>
          <w:szCs w:val="24"/>
        </w:rPr>
        <w:t>wod</w:t>
      </w:r>
      <w:proofErr w:type="spellEnd"/>
      <w:r w:rsidR="009B5EAA" w:rsidRPr="00B2443C">
        <w:rPr>
          <w:rFonts w:ascii="Times New Roman" w:hAnsi="Times New Roman" w:cs="Times New Roman"/>
          <w:i/>
          <w:sz w:val="24"/>
          <w:szCs w:val="24"/>
        </w:rPr>
        <w:t xml:space="preserve">.- kan. 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="009B5EAA" w:rsidRPr="00B2443C">
        <w:rPr>
          <w:rFonts w:ascii="Times New Roman" w:hAnsi="Times New Roman" w:cs="Times New Roman"/>
          <w:i/>
          <w:sz w:val="24"/>
          <w:szCs w:val="24"/>
        </w:rPr>
        <w:t xml:space="preserve"> C.O. z uprawnieniami spawalniczymi</w:t>
      </w:r>
      <w:r>
        <w:rPr>
          <w:rFonts w:ascii="Times New Roman" w:hAnsi="Times New Roman" w:cs="Times New Roman"/>
          <w:sz w:val="24"/>
          <w:szCs w:val="24"/>
        </w:rPr>
        <w:t xml:space="preserve"> obejmował następujące zagadnienia tematyczne:</w:t>
      </w:r>
    </w:p>
    <w:p w:rsidR="006664E1" w:rsidRDefault="006664E1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443C" w:rsidRDefault="00B2443C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Teoria insta</w:t>
      </w:r>
      <w:r w:rsidR="004C762D">
        <w:rPr>
          <w:rFonts w:ascii="Times New Roman" w:hAnsi="Times New Roman" w:cs="Times New Roman"/>
          <w:sz w:val="24"/>
          <w:szCs w:val="24"/>
        </w:rPr>
        <w:t>latorstwa wraz z przepisami bhp – 8 godzin.</w:t>
      </w:r>
    </w:p>
    <w:p w:rsidR="00B2443C" w:rsidRDefault="00B2443C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Wykonywanie otworów i kucie bruzd.</w:t>
      </w:r>
    </w:p>
    <w:p w:rsidR="00B2443C" w:rsidRDefault="00B2443C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Montaż zamocowań rur.</w:t>
      </w:r>
    </w:p>
    <w:p w:rsidR="00B2443C" w:rsidRDefault="00B2443C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Cięcie i gięcie rur.</w:t>
      </w:r>
    </w:p>
    <w:p w:rsidR="00B2443C" w:rsidRDefault="00B2443C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Łączenie rur.</w:t>
      </w:r>
    </w:p>
    <w:p w:rsidR="00B2443C" w:rsidRDefault="00B2443C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Instalacje kanalizacyjne.</w:t>
      </w:r>
    </w:p>
    <w:p w:rsidR="00B2443C" w:rsidRDefault="00B2443C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Wykonywanie kompletnej sieci kanalizacyjnej.</w:t>
      </w:r>
    </w:p>
    <w:p w:rsidR="00B2443C" w:rsidRDefault="00B2443C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Montaż armatury.</w:t>
      </w:r>
    </w:p>
    <w:p w:rsidR="00B2443C" w:rsidRDefault="00B2443C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Montaż armatury.</w:t>
      </w:r>
    </w:p>
    <w:p w:rsidR="00B2443C" w:rsidRDefault="00B2443C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Regulacje.</w:t>
      </w:r>
    </w:p>
    <w:p w:rsidR="004C762D" w:rsidRDefault="004C762D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2 do 10 realizowane były w wymiarze 132 godzin.</w:t>
      </w:r>
    </w:p>
    <w:p w:rsidR="004C762D" w:rsidRDefault="00B2443C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Kurs spawania rur spoinami czołowymi w me</w:t>
      </w:r>
      <w:r w:rsidR="004C762D">
        <w:rPr>
          <w:rFonts w:ascii="Times New Roman" w:hAnsi="Times New Roman" w:cs="Times New Roman"/>
          <w:sz w:val="24"/>
          <w:szCs w:val="24"/>
        </w:rPr>
        <w:t>todzie 311 + egzamin zewnętrzny – 136 godzin.</w:t>
      </w:r>
    </w:p>
    <w:p w:rsidR="004C762D" w:rsidRDefault="004C762D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762D" w:rsidRDefault="004C762D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przeprowadziła jednostka Tucholskie Towarzystwo Edukacyjne, wyłoniona zgodnie z ustawą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B2370">
        <w:rPr>
          <w:rFonts w:ascii="Times New Roman" w:hAnsi="Times New Roman" w:cs="Times New Roman"/>
          <w:sz w:val="24"/>
          <w:szCs w:val="24"/>
        </w:rPr>
        <w:t xml:space="preserve"> Kurs spawania przeprowadzony został w Tucholi, natomiast pozostała część kursu przeprowadzona została w Kamienicy, na bazie budynku adoptowanego na mieszkania socjalne.</w:t>
      </w:r>
    </w:p>
    <w:p w:rsidR="004C762D" w:rsidRDefault="004C762D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762D" w:rsidRDefault="004C762D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</w:t>
      </w:r>
      <w:r w:rsidR="008B2370">
        <w:rPr>
          <w:rFonts w:ascii="Times New Roman" w:hAnsi="Times New Roman" w:cs="Times New Roman"/>
          <w:sz w:val="24"/>
          <w:szCs w:val="24"/>
        </w:rPr>
        <w:t xml:space="preserve"> uczestnicy ukończyli szkolenie</w:t>
      </w:r>
      <w:r w:rsidR="003937C4">
        <w:rPr>
          <w:rFonts w:ascii="Times New Roman" w:hAnsi="Times New Roman" w:cs="Times New Roman"/>
          <w:sz w:val="24"/>
          <w:szCs w:val="24"/>
        </w:rPr>
        <w:t>, zdobyli uprawnienia spawacza.</w:t>
      </w:r>
    </w:p>
    <w:p w:rsidR="003937C4" w:rsidRDefault="003937C4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762D" w:rsidRDefault="004C762D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szkolenia uczestnicy</w:t>
      </w:r>
      <w:r w:rsidR="003937C4">
        <w:rPr>
          <w:rFonts w:ascii="Times New Roman" w:hAnsi="Times New Roman" w:cs="Times New Roman"/>
          <w:sz w:val="24"/>
          <w:szCs w:val="24"/>
        </w:rPr>
        <w:t xml:space="preserve"> wypełnili ankietę. Według wszystkich ankietowanych cele szkolenia zostały osiągnięte oraz szkolenie pomogło poszerzyć wiedzę, umiejętności i kwalifikacje.</w:t>
      </w:r>
    </w:p>
    <w:p w:rsidR="004C762D" w:rsidRDefault="004C762D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5765" w:rsidRDefault="00705765" w:rsidP="004C762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443C" w:rsidRDefault="00B2443C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kursu </w:t>
      </w:r>
      <w:r w:rsidRPr="00B2443C">
        <w:rPr>
          <w:rFonts w:ascii="Times New Roman" w:hAnsi="Times New Roman" w:cs="Times New Roman"/>
          <w:i/>
          <w:sz w:val="24"/>
          <w:szCs w:val="24"/>
        </w:rPr>
        <w:t>Technolog robót wykończeniowych w budownictwie</w:t>
      </w:r>
      <w:r>
        <w:rPr>
          <w:rFonts w:ascii="Times New Roman" w:hAnsi="Times New Roman" w:cs="Times New Roman"/>
          <w:sz w:val="24"/>
          <w:szCs w:val="24"/>
        </w:rPr>
        <w:t xml:space="preserve"> obejmował następujące zagadnienia tematyczne:</w:t>
      </w:r>
    </w:p>
    <w:p w:rsidR="00AF70C3" w:rsidRDefault="00AF70C3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443C" w:rsidRDefault="00B2443C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Zasady bhp i ppoż. Przy robotach budowlanych oraz udzielania pierwszej pomocy.</w:t>
      </w:r>
    </w:p>
    <w:p w:rsidR="00B2443C" w:rsidRDefault="00B2443C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Posługiwanie się dokumentacją techniczną.</w:t>
      </w:r>
    </w:p>
    <w:p w:rsidR="00B2443C" w:rsidRDefault="00B2443C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Ogólna charakterystyka posadzek, płyt i paneli.</w:t>
      </w:r>
    </w:p>
    <w:p w:rsidR="00B2443C" w:rsidRDefault="00B2443C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Materiały, narzędzia i sprzęt do prac remontowo wykończeniowych.</w:t>
      </w:r>
    </w:p>
    <w:p w:rsidR="00B2443C" w:rsidRDefault="00B2443C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Organizacja stanowiska pracy.</w:t>
      </w:r>
    </w:p>
    <w:p w:rsidR="00B2443C" w:rsidRDefault="00B2443C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Wykonywanie i przygotowanie podkładu wraz z izolacją.</w:t>
      </w:r>
    </w:p>
    <w:p w:rsidR="00B2443C" w:rsidRDefault="00B2443C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Ocena przygotowania różnych pod</w:t>
      </w:r>
      <w:r w:rsidR="00341DF1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oży.</w:t>
      </w:r>
    </w:p>
    <w:p w:rsidR="00341DF1" w:rsidRDefault="00341DF1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Murowanie, tynkowanie, gładzie gipsowe.</w:t>
      </w:r>
    </w:p>
    <w:p w:rsidR="00341DF1" w:rsidRDefault="00341DF1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Metody malowania oraz techniki malarskie.</w:t>
      </w:r>
    </w:p>
    <w:p w:rsidR="00341DF1" w:rsidRDefault="00341DF1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Wykonywanie posadzek i okładzin z płytek glazurowych i terakotowych.</w:t>
      </w:r>
    </w:p>
    <w:p w:rsidR="00341DF1" w:rsidRDefault="00341DF1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montaż płyt gipsowo- kartonowych.</w:t>
      </w:r>
    </w:p>
    <w:p w:rsidR="00341DF1" w:rsidRDefault="00341DF1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Montaż elementów wyposażenia sanitarnego.</w:t>
      </w:r>
    </w:p>
    <w:p w:rsidR="00341DF1" w:rsidRDefault="00341DF1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Montowanie okien i drzwi.</w:t>
      </w:r>
    </w:p>
    <w:p w:rsidR="00341DF1" w:rsidRDefault="00341DF1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Montaż elementów wykończeniowych i ozdobnych.</w:t>
      </w:r>
    </w:p>
    <w:p w:rsidR="00341DF1" w:rsidRDefault="00341DF1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Spoinowanie</w:t>
      </w:r>
    </w:p>
    <w:p w:rsidR="00AF70C3" w:rsidRDefault="00AF70C3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70C3" w:rsidRDefault="00AF70C3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obejmowało 280 godzin zajęć, w tym 40 godzin zajęć teoretycznych i 240 godzin zajęć praktycznych. Szkolenie realizowane było </w:t>
      </w:r>
      <w:r w:rsidR="00FF5C05" w:rsidRPr="00FF5C05">
        <w:rPr>
          <w:rFonts w:ascii="Times New Roman" w:hAnsi="Times New Roman" w:cs="Times New Roman"/>
          <w:sz w:val="24"/>
          <w:szCs w:val="24"/>
        </w:rPr>
        <w:t>w Kamienicy, na bazie budynku adoptowanego na mieszkania socjalne.</w:t>
      </w:r>
    </w:p>
    <w:p w:rsidR="00FF5C05" w:rsidRDefault="00FF5C05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F5C05" w:rsidRDefault="00FF5C05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Wykonawcą szkolenia była jednostka Agencja Rozwoju Edukacji Norbert Jasiński z Częstochowy, wyłoniona zgodnie z ustawą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F4337" w:rsidRDefault="009F4337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F4337" w:rsidRDefault="009F4337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uczestnicy ukończyli szkolenie.</w:t>
      </w:r>
    </w:p>
    <w:p w:rsidR="009F4337" w:rsidRDefault="009F4337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F4337" w:rsidRDefault="009F4337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szkolenia uczestnicy wypełnili ankiety. Wszyscy ankietowani byli zadowoleni z udziału w szk</w:t>
      </w:r>
      <w:r w:rsidR="002772DD">
        <w:rPr>
          <w:rFonts w:ascii="Times New Roman" w:hAnsi="Times New Roman" w:cs="Times New Roman"/>
          <w:sz w:val="24"/>
          <w:szCs w:val="24"/>
        </w:rPr>
        <w:t>oleniu. Według większości zdobyt</w:t>
      </w:r>
      <w:r>
        <w:rPr>
          <w:rFonts w:ascii="Times New Roman" w:hAnsi="Times New Roman" w:cs="Times New Roman"/>
          <w:sz w:val="24"/>
          <w:szCs w:val="24"/>
        </w:rPr>
        <w:t xml:space="preserve">a wiedza znajdzie zastosowanie w przyszłej pracy. </w:t>
      </w:r>
    </w:p>
    <w:p w:rsidR="00276A5E" w:rsidRDefault="00276A5E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1DB0" w:rsidRDefault="00276A5E" w:rsidP="00AF70C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tego etapu programu 1 uczestnik</w:t>
      </w:r>
      <w:r w:rsidR="00E81DB0">
        <w:rPr>
          <w:rFonts w:ascii="Times New Roman" w:hAnsi="Times New Roman" w:cs="Times New Roman"/>
          <w:sz w:val="24"/>
          <w:szCs w:val="24"/>
        </w:rPr>
        <w:t xml:space="preserve"> (1 mężczyzna)</w:t>
      </w:r>
      <w:r>
        <w:rPr>
          <w:rFonts w:ascii="Times New Roman" w:hAnsi="Times New Roman" w:cs="Times New Roman"/>
          <w:sz w:val="24"/>
          <w:szCs w:val="24"/>
        </w:rPr>
        <w:t xml:space="preserve"> przerwał udział w programie z powodu podjęcia pracy.</w:t>
      </w:r>
    </w:p>
    <w:p w:rsidR="0045545A" w:rsidRDefault="0045545A" w:rsidP="00353C2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1DB0" w:rsidRDefault="00FC38CE" w:rsidP="00E81DB0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etap </w:t>
      </w:r>
      <w:r w:rsidRPr="00324AB7">
        <w:rPr>
          <w:rFonts w:ascii="Times New Roman" w:hAnsi="Times New Roman" w:cs="Times New Roman"/>
          <w:i/>
          <w:color w:val="943634" w:themeColor="accent2" w:themeShade="BF"/>
          <w:sz w:val="24"/>
          <w:szCs w:val="24"/>
        </w:rPr>
        <w:t>roboty publiczne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DB0" w:rsidRDefault="00E81DB0" w:rsidP="00E81DB0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38CE" w:rsidRDefault="00324AB7" w:rsidP="00E81DB0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szkoleń zawodowych</w:t>
      </w:r>
      <w:r w:rsidR="00FC38CE">
        <w:rPr>
          <w:rFonts w:ascii="Times New Roman" w:hAnsi="Times New Roman" w:cs="Times New Roman"/>
          <w:sz w:val="24"/>
          <w:szCs w:val="24"/>
        </w:rPr>
        <w:t xml:space="preserve"> 9 osób </w:t>
      </w:r>
      <w:r>
        <w:rPr>
          <w:rFonts w:ascii="Times New Roman" w:hAnsi="Times New Roman" w:cs="Times New Roman"/>
          <w:sz w:val="24"/>
          <w:szCs w:val="24"/>
        </w:rPr>
        <w:t xml:space="preserve">zadeklarowało dalsze uczestnictwo w programie, tj. podjęcie pracy w ramach robót publicznych na okres 5 miesięcy. </w:t>
      </w:r>
      <w:r w:rsidR="00FC38CE">
        <w:rPr>
          <w:rFonts w:ascii="Times New Roman" w:hAnsi="Times New Roman" w:cs="Times New Roman"/>
          <w:sz w:val="24"/>
          <w:szCs w:val="24"/>
        </w:rPr>
        <w:t xml:space="preserve">Uczestnicy zatrudnienie podjęli bezpośrednio po zakończeniu </w:t>
      </w:r>
      <w:r w:rsidR="00D621DE">
        <w:rPr>
          <w:rFonts w:ascii="Times New Roman" w:hAnsi="Times New Roman" w:cs="Times New Roman"/>
          <w:sz w:val="24"/>
          <w:szCs w:val="24"/>
        </w:rPr>
        <w:t>szkoleń</w:t>
      </w:r>
      <w:r w:rsidR="00FC38CE">
        <w:rPr>
          <w:rFonts w:ascii="Times New Roman" w:hAnsi="Times New Roman" w:cs="Times New Roman"/>
          <w:sz w:val="24"/>
          <w:szCs w:val="24"/>
        </w:rPr>
        <w:t xml:space="preserve">, 17.11.2016 roku. </w:t>
      </w:r>
    </w:p>
    <w:p w:rsidR="00E81DB0" w:rsidRDefault="00E81DB0" w:rsidP="00E81DB0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1DB0" w:rsidRDefault="00E81DB0" w:rsidP="00E81DB0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Roboty publiczne realizowane były do 16.04.2016 r. </w:t>
      </w:r>
    </w:p>
    <w:p w:rsidR="00E81DB0" w:rsidRDefault="00E81DB0" w:rsidP="00E81DB0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AB7" w:rsidRDefault="00E81DB0" w:rsidP="00353C2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uczestnicy</w:t>
      </w:r>
      <w:r w:rsidR="008624BA">
        <w:rPr>
          <w:rFonts w:ascii="Times New Roman" w:hAnsi="Times New Roman" w:cs="Times New Roman"/>
          <w:sz w:val="24"/>
          <w:szCs w:val="24"/>
        </w:rPr>
        <w:t xml:space="preserve"> pracowali przez cały okres trwania robót publicznych.</w:t>
      </w:r>
    </w:p>
    <w:p w:rsidR="00C04EC7" w:rsidRDefault="00C04EC7" w:rsidP="00353C2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023" w:rsidRDefault="00C061EB" w:rsidP="008624B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r</w:t>
      </w:r>
      <w:r w:rsidR="008624BA">
        <w:rPr>
          <w:rFonts w:ascii="Times New Roman" w:hAnsi="Times New Roman" w:cs="Times New Roman"/>
          <w:sz w:val="24"/>
          <w:szCs w:val="24"/>
        </w:rPr>
        <w:t xml:space="preserve">ealizacji programu zastosowano </w:t>
      </w:r>
      <w:r w:rsidR="008624BA" w:rsidRPr="008624BA">
        <w:rPr>
          <w:rFonts w:ascii="Times New Roman" w:hAnsi="Times New Roman" w:cs="Times New Roman"/>
          <w:i/>
          <w:sz w:val="24"/>
          <w:szCs w:val="24"/>
        </w:rPr>
        <w:t>E</w:t>
      </w:r>
      <w:r w:rsidRPr="008624BA">
        <w:rPr>
          <w:rFonts w:ascii="Times New Roman" w:hAnsi="Times New Roman" w:cs="Times New Roman"/>
          <w:i/>
          <w:sz w:val="24"/>
          <w:szCs w:val="24"/>
        </w:rPr>
        <w:t>lementy specjalne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50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remie finansowe</w:t>
      </w:r>
      <w:r w:rsidR="00995023">
        <w:rPr>
          <w:rFonts w:ascii="Times New Roman" w:hAnsi="Times New Roman" w:cs="Times New Roman"/>
          <w:sz w:val="24"/>
          <w:szCs w:val="24"/>
        </w:rPr>
        <w:t xml:space="preserve"> oraz ryczałt z przeznaczeniem na pokrycie kosztów związanych z zapewnieniem opieki dzieciom lub osobom zależnym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24BA" w:rsidRDefault="008624BA" w:rsidP="008624B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268D" w:rsidRDefault="00C061EB" w:rsidP="008624B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Pierwszą premię uczestnicy otrzymali po zakończeniu szkolenia zawodowego. </w:t>
      </w:r>
      <w:r w:rsidR="00497FBE">
        <w:rPr>
          <w:rFonts w:ascii="Times New Roman" w:hAnsi="Times New Roman" w:cs="Times New Roman"/>
          <w:sz w:val="24"/>
          <w:szCs w:val="24"/>
        </w:rPr>
        <w:t>Premię tę otrzymali wszyscy uczestnicy.</w:t>
      </w:r>
    </w:p>
    <w:p w:rsidR="00614E93" w:rsidRDefault="00614E93" w:rsidP="008624B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1945" w:rsidRDefault="00C061EB" w:rsidP="008624B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Drugą premię otrzymali w trakcie trwania robót publicznych. Premia ta miała zmotywować uczestników do systematycznego chodzenia do pracy, dlatego jej wysokość pomniejszona była o okresy nieobecności w pracy. </w:t>
      </w:r>
      <w:r w:rsidR="00F31945">
        <w:rPr>
          <w:rFonts w:ascii="Times New Roman" w:hAnsi="Times New Roman" w:cs="Times New Roman"/>
          <w:sz w:val="24"/>
          <w:szCs w:val="24"/>
        </w:rPr>
        <w:t xml:space="preserve">W czasie trwania robót publicznych z przedłużających </w:t>
      </w:r>
      <w:r w:rsidR="00F31945">
        <w:rPr>
          <w:rFonts w:ascii="Times New Roman" w:hAnsi="Times New Roman" w:cs="Times New Roman"/>
          <w:sz w:val="24"/>
          <w:szCs w:val="24"/>
        </w:rPr>
        <w:lastRenderedPageBreak/>
        <w:t>się zwolnień lekarskich korzystało 2 uczestników</w:t>
      </w:r>
      <w:r w:rsidR="007C68B8">
        <w:rPr>
          <w:rFonts w:ascii="Times New Roman" w:hAnsi="Times New Roman" w:cs="Times New Roman"/>
          <w:sz w:val="24"/>
          <w:szCs w:val="24"/>
        </w:rPr>
        <w:t>, pozostali uczestnicy pracowali bez dłuższych przerw w pracy.</w:t>
      </w:r>
      <w:r w:rsidR="00497FBE">
        <w:rPr>
          <w:rFonts w:ascii="Times New Roman" w:hAnsi="Times New Roman" w:cs="Times New Roman"/>
          <w:sz w:val="24"/>
          <w:szCs w:val="24"/>
        </w:rPr>
        <w:t xml:space="preserve"> Premię tę otrzymali wszyscy uczestnicy.</w:t>
      </w:r>
    </w:p>
    <w:p w:rsidR="00497FBE" w:rsidRDefault="00497FBE" w:rsidP="008624B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7FBE" w:rsidRDefault="00C061EB" w:rsidP="008624B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Ostatnią premię otrzymały osoby, które po zakończeniu robót publicznych podjęły dalsze zatrudnienie</w:t>
      </w:r>
      <w:r w:rsidR="00497FBE">
        <w:rPr>
          <w:rFonts w:ascii="Times New Roman" w:hAnsi="Times New Roman" w:cs="Times New Roman"/>
          <w:sz w:val="24"/>
          <w:szCs w:val="24"/>
        </w:rPr>
        <w:t xml:space="preserve"> w Urzędzie Gminy w Gostycynie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7FBE">
        <w:rPr>
          <w:rFonts w:ascii="Times New Roman" w:hAnsi="Times New Roman" w:cs="Times New Roman"/>
          <w:sz w:val="24"/>
          <w:szCs w:val="24"/>
        </w:rPr>
        <w:t xml:space="preserve"> Premię otrzymało 7 uczestników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FBE">
        <w:rPr>
          <w:rFonts w:ascii="Times New Roman" w:hAnsi="Times New Roman" w:cs="Times New Roman"/>
          <w:sz w:val="24"/>
          <w:szCs w:val="24"/>
        </w:rPr>
        <w:t>Premia była podwojona przy podjęciu pracy na otwartym rynku pracy. Taka premię otrzymał 1 uczestnik.</w:t>
      </w:r>
    </w:p>
    <w:p w:rsidR="00614E93" w:rsidRDefault="00614E93" w:rsidP="008624B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4E93" w:rsidRDefault="00614E93" w:rsidP="008624B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sumie na wypłatę wszystkich premii wydatkowano 17.500,00 zł</w:t>
      </w:r>
      <w:r w:rsidR="006F4934">
        <w:rPr>
          <w:rFonts w:ascii="Times New Roman" w:hAnsi="Times New Roman" w:cs="Times New Roman"/>
          <w:sz w:val="24"/>
          <w:szCs w:val="24"/>
        </w:rPr>
        <w:t>.</w:t>
      </w:r>
    </w:p>
    <w:p w:rsidR="00614E93" w:rsidRDefault="00614E93" w:rsidP="008624B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5545A" w:rsidRPr="00947427" w:rsidRDefault="00FC5F1C" w:rsidP="008624BA">
      <w:pPr>
        <w:ind w:left="0"/>
        <w:jc w:val="both"/>
        <w:rPr>
          <w:rStyle w:val="Odwoaniedelikatn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Ryczałt na pokrycie kosztów opieki nad dzieckiem dla osób, posiadających co najmniej 1 dziecko do 6 roku życia, co najmniej 1 dziecko niepełnosprawne do 18 lub opiekujących się osobą zależną, przysługiwał przez pierwsze 3 miesiące uczestnictwa w programie.</w:t>
      </w:r>
      <w:r w:rsidR="00A01765">
        <w:rPr>
          <w:rFonts w:ascii="Times New Roman" w:hAnsi="Times New Roman" w:cs="Times New Roman"/>
          <w:sz w:val="24"/>
          <w:szCs w:val="24"/>
        </w:rPr>
        <w:t xml:space="preserve"> Z tego wsparcia skorzystała 1 osoba.</w:t>
      </w:r>
    </w:p>
    <w:p w:rsidR="0045545A" w:rsidRDefault="0045545A" w:rsidP="00353C2A">
      <w:pPr>
        <w:ind w:left="0"/>
        <w:jc w:val="both"/>
        <w:rPr>
          <w:rStyle w:val="Odwoaniedelikatne"/>
          <w:rFonts w:ascii="Times New Roman" w:hAnsi="Times New Roman" w:cs="Times New Roman"/>
        </w:rPr>
      </w:pPr>
    </w:p>
    <w:p w:rsidR="00BD6FC4" w:rsidRPr="00A37C17" w:rsidRDefault="00BD6FC4" w:rsidP="00353C2A">
      <w:pPr>
        <w:ind w:left="0"/>
        <w:jc w:val="both"/>
        <w:rPr>
          <w:rStyle w:val="Odwoaniedelikatne"/>
          <w:rFonts w:ascii="Times New Roman" w:hAnsi="Times New Roman" w:cs="Times New Roman"/>
        </w:rPr>
      </w:pPr>
      <w:r w:rsidRPr="00A37C17">
        <w:rPr>
          <w:rStyle w:val="Odwoaniedelikatne"/>
          <w:rFonts w:ascii="Times New Roman" w:hAnsi="Times New Roman" w:cs="Times New Roman"/>
        </w:rPr>
        <w:t>Koszt realizacji.</w:t>
      </w:r>
    </w:p>
    <w:p w:rsidR="00016D4A" w:rsidRDefault="00016D4A" w:rsidP="00353C2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1F78" w:rsidRDefault="006702EE" w:rsidP="0045545A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D6FC4">
        <w:rPr>
          <w:rFonts w:ascii="Times New Roman" w:hAnsi="Times New Roman" w:cs="Times New Roman"/>
          <w:sz w:val="24"/>
          <w:szCs w:val="24"/>
        </w:rPr>
        <w:t>a realizację programu wydatkowano</w:t>
      </w:r>
      <w:r>
        <w:rPr>
          <w:rFonts w:ascii="Times New Roman" w:hAnsi="Times New Roman" w:cs="Times New Roman"/>
          <w:sz w:val="24"/>
          <w:szCs w:val="24"/>
        </w:rPr>
        <w:t xml:space="preserve"> 186.129,44 zł, w tym w</w:t>
      </w:r>
      <w:r w:rsidR="001E6475">
        <w:rPr>
          <w:rFonts w:ascii="Times New Roman" w:hAnsi="Times New Roman" w:cs="Times New Roman"/>
          <w:sz w:val="24"/>
          <w:szCs w:val="24"/>
        </w:rPr>
        <w:t xml:space="preserve"> 2016 r. </w:t>
      </w:r>
      <w:r w:rsidR="00203D1F">
        <w:rPr>
          <w:rFonts w:ascii="Times New Roman" w:hAnsi="Times New Roman" w:cs="Times New Roman"/>
          <w:sz w:val="24"/>
          <w:szCs w:val="24"/>
        </w:rPr>
        <w:t>60.061,45 zł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1F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DAD" w:rsidRDefault="00E81F78" w:rsidP="0045545A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wypłatę premii wydatkowano 17.500,00 zł, co stanowiło 9,4% wszystkich wydatków.</w:t>
      </w:r>
    </w:p>
    <w:p w:rsidR="00D310C9" w:rsidRDefault="00D310C9" w:rsidP="003D18C5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10C9" w:rsidRPr="001B499A" w:rsidRDefault="00783AFA" w:rsidP="00D310C9">
      <w:pPr>
        <w:ind w:left="0"/>
        <w:jc w:val="both"/>
        <w:rPr>
          <w:rStyle w:val="Odwoaniedelikatne"/>
          <w:rFonts w:ascii="Times New Roman" w:hAnsi="Times New Roman" w:cs="Times New Roman"/>
        </w:rPr>
      </w:pPr>
      <w:r>
        <w:rPr>
          <w:rStyle w:val="Odwoaniedelikatne"/>
          <w:rFonts w:ascii="Times New Roman" w:hAnsi="Times New Roman" w:cs="Times New Roman"/>
        </w:rPr>
        <w:t>Rezultaty</w:t>
      </w:r>
    </w:p>
    <w:p w:rsidR="0072751A" w:rsidRDefault="0072751A" w:rsidP="00D310C9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2751A" w:rsidRDefault="0072751A" w:rsidP="0013225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zakwalifikowani uczestnicy ukończyli szkolenie motywacyjne (12 osób: 2K i 10M).</w:t>
      </w:r>
    </w:p>
    <w:p w:rsidR="00132258" w:rsidRDefault="00132258" w:rsidP="0013225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2751A" w:rsidRDefault="0072751A" w:rsidP="0013225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zakwalifikowani uczestnicy ukończyli szkolenie zawodowe (10 osób: 2K i 8M).</w:t>
      </w:r>
    </w:p>
    <w:p w:rsidR="00132258" w:rsidRDefault="00132258" w:rsidP="0013225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2751A" w:rsidRDefault="0072751A" w:rsidP="0013225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Zatrudnienie w ramach robót publicznych podjęło 9 osób (2K i 7M), 1 uczestnik </w:t>
      </w:r>
      <w:r w:rsidR="00064815">
        <w:rPr>
          <w:rFonts w:ascii="Times New Roman" w:hAnsi="Times New Roman" w:cs="Times New Roman"/>
          <w:sz w:val="24"/>
          <w:szCs w:val="24"/>
        </w:rPr>
        <w:t>podjął</w:t>
      </w:r>
      <w:r>
        <w:rPr>
          <w:rFonts w:ascii="Times New Roman" w:hAnsi="Times New Roman" w:cs="Times New Roman"/>
          <w:sz w:val="24"/>
          <w:szCs w:val="24"/>
        </w:rPr>
        <w:t xml:space="preserve"> prac</w:t>
      </w:r>
      <w:r w:rsidR="00064815">
        <w:rPr>
          <w:rFonts w:ascii="Times New Roman" w:hAnsi="Times New Roman" w:cs="Times New Roman"/>
          <w:sz w:val="24"/>
          <w:szCs w:val="24"/>
        </w:rPr>
        <w:t>ę po ukończeniu szkolenia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541D" w:rsidRDefault="0079541D" w:rsidP="0013225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2258" w:rsidRDefault="00D310C9" w:rsidP="0013225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2751A">
        <w:rPr>
          <w:rFonts w:ascii="Times New Roman" w:hAnsi="Times New Roman" w:cs="Times New Roman"/>
          <w:sz w:val="24"/>
          <w:szCs w:val="24"/>
        </w:rPr>
        <w:t xml:space="preserve">o zakończeniu </w:t>
      </w:r>
      <w:r w:rsidR="00132258">
        <w:rPr>
          <w:rFonts w:ascii="Times New Roman" w:hAnsi="Times New Roman" w:cs="Times New Roman"/>
          <w:sz w:val="24"/>
          <w:szCs w:val="24"/>
        </w:rPr>
        <w:t>robót publicznych</w:t>
      </w:r>
      <w:r w:rsidR="0072751A">
        <w:rPr>
          <w:rFonts w:ascii="Times New Roman" w:hAnsi="Times New Roman" w:cs="Times New Roman"/>
          <w:sz w:val="24"/>
          <w:szCs w:val="24"/>
        </w:rPr>
        <w:t xml:space="preserve"> </w:t>
      </w:r>
      <w:r w:rsidR="0079541D">
        <w:rPr>
          <w:rFonts w:ascii="Times New Roman" w:hAnsi="Times New Roman" w:cs="Times New Roman"/>
          <w:sz w:val="24"/>
          <w:szCs w:val="24"/>
        </w:rPr>
        <w:t>pracę w Urzędzie Gminy w Gostycynie podjęło 7 uczestników.</w:t>
      </w:r>
    </w:p>
    <w:p w:rsidR="0079541D" w:rsidRDefault="0079541D" w:rsidP="0013225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2258" w:rsidRDefault="00132258" w:rsidP="0013225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realizację programu wydatkowano o 50.850,56 zł mniej niż planowano we wniosku.</w:t>
      </w:r>
      <w:r w:rsidR="00726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258" w:rsidRDefault="00132258" w:rsidP="0013225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2258" w:rsidRDefault="00132258" w:rsidP="0013225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programie osiągnięto efektywność zatrudnieniową wyższą niż planowana we wniosku (50%). Efektywność zatrudnieniowa programu wyniosła 66,67%.</w:t>
      </w:r>
      <w:r w:rsidR="00817F63">
        <w:rPr>
          <w:rFonts w:ascii="Times New Roman" w:hAnsi="Times New Roman" w:cs="Times New Roman"/>
          <w:sz w:val="24"/>
          <w:szCs w:val="24"/>
        </w:rPr>
        <w:t xml:space="preserve"> </w:t>
      </w:r>
      <w:r w:rsidR="00715E13">
        <w:rPr>
          <w:rFonts w:ascii="Times New Roman" w:hAnsi="Times New Roman" w:cs="Times New Roman"/>
          <w:sz w:val="24"/>
          <w:szCs w:val="24"/>
        </w:rPr>
        <w:t>Efektywność zatrudnieniowa</w:t>
      </w:r>
      <w:r w:rsidR="00715E13" w:rsidRPr="00715E13">
        <w:rPr>
          <w:rFonts w:ascii="Times New Roman" w:hAnsi="Times New Roman" w:cs="Times New Roman"/>
          <w:sz w:val="24"/>
          <w:szCs w:val="24"/>
        </w:rPr>
        <w:t xml:space="preserve"> ustalona </w:t>
      </w:r>
      <w:r w:rsidR="00715E13">
        <w:rPr>
          <w:rFonts w:ascii="Times New Roman" w:hAnsi="Times New Roman" w:cs="Times New Roman"/>
          <w:sz w:val="24"/>
          <w:szCs w:val="24"/>
        </w:rPr>
        <w:t xml:space="preserve">została </w:t>
      </w:r>
      <w:r w:rsidR="00715E13" w:rsidRPr="00715E13">
        <w:rPr>
          <w:rFonts w:ascii="Times New Roman" w:hAnsi="Times New Roman" w:cs="Times New Roman"/>
          <w:sz w:val="24"/>
          <w:szCs w:val="24"/>
        </w:rPr>
        <w:t>jako  iloraz  liczby  uczestników programu specjalnego,  którzy  po zakończeniu udziału w określonej formie aktywizacji uzyskali w okresie do 3 miesięcy zatrudnienie, inną pracę zarobkową lub podjęli działalność gospodarczą oraz liczby uczestników programu specjalnego, którzy zakończyli udział w programie specjalnym.</w:t>
      </w:r>
    </w:p>
    <w:p w:rsidR="00715E13" w:rsidRDefault="00715E13" w:rsidP="0013225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2258" w:rsidRDefault="00132258" w:rsidP="0013225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programie osiągnięto efektywność kosztową niższą niż planowana we wniosku (39.496,67 zł). Efektywność kosztowa programu wyniosła </w:t>
      </w:r>
      <w:r w:rsidRPr="001C1E15">
        <w:rPr>
          <w:rFonts w:ascii="Times New Roman" w:hAnsi="Times New Roman" w:cs="Times New Roman"/>
          <w:sz w:val="24"/>
          <w:szCs w:val="24"/>
        </w:rPr>
        <w:t>23.266,18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  <w:r w:rsidR="00726A66">
        <w:rPr>
          <w:rFonts w:ascii="Times New Roman" w:hAnsi="Times New Roman" w:cs="Times New Roman"/>
          <w:sz w:val="24"/>
          <w:szCs w:val="24"/>
        </w:rPr>
        <w:t xml:space="preserve"> Efektywność kosztowa</w:t>
      </w:r>
      <w:r w:rsidR="00726A66" w:rsidRPr="00726A66">
        <w:rPr>
          <w:rFonts w:ascii="Times New Roman" w:hAnsi="Times New Roman" w:cs="Times New Roman"/>
          <w:sz w:val="24"/>
          <w:szCs w:val="24"/>
        </w:rPr>
        <w:t xml:space="preserve"> ustalona</w:t>
      </w:r>
      <w:r w:rsidR="00726A66">
        <w:rPr>
          <w:rFonts w:ascii="Times New Roman" w:hAnsi="Times New Roman" w:cs="Times New Roman"/>
          <w:sz w:val="24"/>
          <w:szCs w:val="24"/>
        </w:rPr>
        <w:t xml:space="preserve"> zosta</w:t>
      </w:r>
      <w:r w:rsidR="00E36E27">
        <w:rPr>
          <w:rFonts w:ascii="Times New Roman" w:hAnsi="Times New Roman" w:cs="Times New Roman"/>
          <w:sz w:val="24"/>
          <w:szCs w:val="24"/>
        </w:rPr>
        <w:t>ł</w:t>
      </w:r>
      <w:r w:rsidR="00726A66">
        <w:rPr>
          <w:rFonts w:ascii="Times New Roman" w:hAnsi="Times New Roman" w:cs="Times New Roman"/>
          <w:sz w:val="24"/>
          <w:szCs w:val="24"/>
        </w:rPr>
        <w:t>a</w:t>
      </w:r>
      <w:r w:rsidR="00726A66" w:rsidRPr="00726A66">
        <w:rPr>
          <w:rFonts w:ascii="Times New Roman" w:hAnsi="Times New Roman" w:cs="Times New Roman"/>
          <w:sz w:val="24"/>
          <w:szCs w:val="24"/>
        </w:rPr>
        <w:t xml:space="preserve"> jako iloraz ogólnej kwoty programu specjalnego oraz liczby uczestników programu specjalnego, którzy po zakończeniu udziału w określonej formie aktywizacji uzyskali w okresie do 3 miesięcy zatrudnienie, inną pracę zarobkową lub podjęli działalność gospodarczą.</w:t>
      </w:r>
    </w:p>
    <w:p w:rsidR="00132258" w:rsidRDefault="00132258" w:rsidP="0013225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541D" w:rsidRDefault="0079541D" w:rsidP="0079541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dzień przygotowania informacji spośród 10 osób, które po szkoleniu motywacyjnym uczestniczyły dalej w programie do ewidencji bezrobotnych nie powróciło 2 uczestników. Ponownie zarejestrowało się 8 osób, dla 7 z nich ustalony został II profil pomocy. </w:t>
      </w:r>
    </w:p>
    <w:p w:rsidR="00C51998" w:rsidRDefault="00C51998" w:rsidP="0079541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1998" w:rsidRDefault="00C51998" w:rsidP="0079541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programu specjalnego przyniosła również wymierne korzyści dla gminy Gostycyn. </w:t>
      </w:r>
      <w:r w:rsidR="00C27D75">
        <w:rPr>
          <w:rFonts w:ascii="Times New Roman" w:hAnsi="Times New Roman" w:cs="Times New Roman"/>
          <w:sz w:val="24"/>
          <w:szCs w:val="24"/>
        </w:rPr>
        <w:t>Zajęcia praktyczne w ramach szkoleń realizowane były w Kamienicy w budynku, w którym umiejscowione zostaną lokale socjalne. W ramach szkoleń uczestnicy programu wykonali część prac związanych z przebudową budynku, więc efekty ich nauki nie tylko będą mogli wykorzystać w przyszłej pracy, ale pozostaną i będą widoczne</w:t>
      </w:r>
      <w:r w:rsidR="007D3152">
        <w:rPr>
          <w:rFonts w:ascii="Times New Roman" w:hAnsi="Times New Roman" w:cs="Times New Roman"/>
          <w:sz w:val="24"/>
          <w:szCs w:val="24"/>
        </w:rPr>
        <w:t xml:space="preserve"> dla</w:t>
      </w:r>
      <w:r w:rsidR="00C27D75">
        <w:rPr>
          <w:rFonts w:ascii="Times New Roman" w:hAnsi="Times New Roman" w:cs="Times New Roman"/>
          <w:sz w:val="24"/>
          <w:szCs w:val="24"/>
        </w:rPr>
        <w:t xml:space="preserve"> społeczeństwa.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0C9" w:rsidRPr="003D18C5" w:rsidRDefault="00D310C9" w:rsidP="003D18C5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D310C9" w:rsidRPr="003D18C5" w:rsidSect="00D910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54B" w:rsidRDefault="008F054B" w:rsidP="001B3D7A">
      <w:r>
        <w:separator/>
      </w:r>
    </w:p>
  </w:endnote>
  <w:endnote w:type="continuationSeparator" w:id="0">
    <w:p w:rsidR="008F054B" w:rsidRDefault="008F054B" w:rsidP="001B3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3969"/>
      <w:docPartObj>
        <w:docPartGallery w:val="Page Numbers (Bottom of Page)"/>
        <w:docPartUnique/>
      </w:docPartObj>
    </w:sdtPr>
    <w:sdtContent>
      <w:p w:rsidR="0079541D" w:rsidRDefault="001B1017">
        <w:pPr>
          <w:pStyle w:val="Stopka"/>
          <w:jc w:val="center"/>
        </w:pPr>
        <w:fldSimple w:instr=" PAGE   \* MERGEFORMAT ">
          <w:r w:rsidR="0041409C">
            <w:rPr>
              <w:noProof/>
            </w:rPr>
            <w:t>1</w:t>
          </w:r>
        </w:fldSimple>
      </w:p>
    </w:sdtContent>
  </w:sdt>
  <w:p w:rsidR="0079541D" w:rsidRDefault="007954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54B" w:rsidRDefault="008F054B" w:rsidP="001B3D7A">
      <w:r>
        <w:separator/>
      </w:r>
    </w:p>
  </w:footnote>
  <w:footnote w:type="continuationSeparator" w:id="0">
    <w:p w:rsidR="008F054B" w:rsidRDefault="008F054B" w:rsidP="001B3D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DAD"/>
    <w:rsid w:val="0000732E"/>
    <w:rsid w:val="00016D4A"/>
    <w:rsid w:val="000544BF"/>
    <w:rsid w:val="00064815"/>
    <w:rsid w:val="000909A9"/>
    <w:rsid w:val="000A4547"/>
    <w:rsid w:val="000B0614"/>
    <w:rsid w:val="000B2CBE"/>
    <w:rsid w:val="000C1A29"/>
    <w:rsid w:val="000D21E0"/>
    <w:rsid w:val="000E4DAD"/>
    <w:rsid w:val="0011148F"/>
    <w:rsid w:val="0011354B"/>
    <w:rsid w:val="00124E20"/>
    <w:rsid w:val="00132258"/>
    <w:rsid w:val="001855C2"/>
    <w:rsid w:val="00196A17"/>
    <w:rsid w:val="00197C31"/>
    <w:rsid w:val="001A3D2F"/>
    <w:rsid w:val="001B1017"/>
    <w:rsid w:val="001B3D7A"/>
    <w:rsid w:val="001B499A"/>
    <w:rsid w:val="001B6BE4"/>
    <w:rsid w:val="001B7FCC"/>
    <w:rsid w:val="001C1E15"/>
    <w:rsid w:val="001E6475"/>
    <w:rsid w:val="001E734E"/>
    <w:rsid w:val="00200FF0"/>
    <w:rsid w:val="00203D1F"/>
    <w:rsid w:val="0020629A"/>
    <w:rsid w:val="00221BD5"/>
    <w:rsid w:val="00223649"/>
    <w:rsid w:val="00223C0C"/>
    <w:rsid w:val="00237693"/>
    <w:rsid w:val="002607F9"/>
    <w:rsid w:val="00276A5E"/>
    <w:rsid w:val="002772DD"/>
    <w:rsid w:val="002924DD"/>
    <w:rsid w:val="0029419E"/>
    <w:rsid w:val="002E7D95"/>
    <w:rsid w:val="002F17FF"/>
    <w:rsid w:val="00324AB7"/>
    <w:rsid w:val="00341DF1"/>
    <w:rsid w:val="003508ED"/>
    <w:rsid w:val="00353C2A"/>
    <w:rsid w:val="00355993"/>
    <w:rsid w:val="003937C4"/>
    <w:rsid w:val="003B796B"/>
    <w:rsid w:val="003C7E51"/>
    <w:rsid w:val="003D18C5"/>
    <w:rsid w:val="003D2C54"/>
    <w:rsid w:val="003D5207"/>
    <w:rsid w:val="0041140F"/>
    <w:rsid w:val="0041409C"/>
    <w:rsid w:val="00421B77"/>
    <w:rsid w:val="004520EA"/>
    <w:rsid w:val="0045545A"/>
    <w:rsid w:val="00464AB0"/>
    <w:rsid w:val="00482DAF"/>
    <w:rsid w:val="00497FBE"/>
    <w:rsid w:val="004B074F"/>
    <w:rsid w:val="004C762D"/>
    <w:rsid w:val="004D61FA"/>
    <w:rsid w:val="004E2F10"/>
    <w:rsid w:val="004E36CA"/>
    <w:rsid w:val="004F7872"/>
    <w:rsid w:val="00527E47"/>
    <w:rsid w:val="0055268F"/>
    <w:rsid w:val="00566107"/>
    <w:rsid w:val="005F542B"/>
    <w:rsid w:val="0060306C"/>
    <w:rsid w:val="006104BB"/>
    <w:rsid w:val="00614E93"/>
    <w:rsid w:val="006664E1"/>
    <w:rsid w:val="006702EE"/>
    <w:rsid w:val="0069273B"/>
    <w:rsid w:val="006A70B1"/>
    <w:rsid w:val="006F4934"/>
    <w:rsid w:val="00705765"/>
    <w:rsid w:val="00715E13"/>
    <w:rsid w:val="00726A66"/>
    <w:rsid w:val="0072751A"/>
    <w:rsid w:val="0076598D"/>
    <w:rsid w:val="007756FE"/>
    <w:rsid w:val="00783AFA"/>
    <w:rsid w:val="0079541D"/>
    <w:rsid w:val="0079618F"/>
    <w:rsid w:val="007C68B8"/>
    <w:rsid w:val="007D0E8C"/>
    <w:rsid w:val="007D26CA"/>
    <w:rsid w:val="007D3152"/>
    <w:rsid w:val="007D4E13"/>
    <w:rsid w:val="00814531"/>
    <w:rsid w:val="00817F63"/>
    <w:rsid w:val="008360B9"/>
    <w:rsid w:val="00836E87"/>
    <w:rsid w:val="008624BA"/>
    <w:rsid w:val="008701D2"/>
    <w:rsid w:val="008B2370"/>
    <w:rsid w:val="008F054B"/>
    <w:rsid w:val="0090252B"/>
    <w:rsid w:val="009028AE"/>
    <w:rsid w:val="00911ADF"/>
    <w:rsid w:val="0091446A"/>
    <w:rsid w:val="00927817"/>
    <w:rsid w:val="00935A71"/>
    <w:rsid w:val="00941DA9"/>
    <w:rsid w:val="00947427"/>
    <w:rsid w:val="00970FF6"/>
    <w:rsid w:val="00985CD4"/>
    <w:rsid w:val="00994FDC"/>
    <w:rsid w:val="00995023"/>
    <w:rsid w:val="009A4A85"/>
    <w:rsid w:val="009A7515"/>
    <w:rsid w:val="009B5EAA"/>
    <w:rsid w:val="009D2C3E"/>
    <w:rsid w:val="009F4337"/>
    <w:rsid w:val="00A01765"/>
    <w:rsid w:val="00A277C6"/>
    <w:rsid w:val="00A37C17"/>
    <w:rsid w:val="00A42A35"/>
    <w:rsid w:val="00A90ED6"/>
    <w:rsid w:val="00AF0C93"/>
    <w:rsid w:val="00AF70C3"/>
    <w:rsid w:val="00B2443C"/>
    <w:rsid w:val="00B847C7"/>
    <w:rsid w:val="00B86DD7"/>
    <w:rsid w:val="00BB0821"/>
    <w:rsid w:val="00BB268D"/>
    <w:rsid w:val="00BB2ADB"/>
    <w:rsid w:val="00BD6FC4"/>
    <w:rsid w:val="00C01286"/>
    <w:rsid w:val="00C04EC7"/>
    <w:rsid w:val="00C061EB"/>
    <w:rsid w:val="00C27D75"/>
    <w:rsid w:val="00C33491"/>
    <w:rsid w:val="00C51998"/>
    <w:rsid w:val="00CA3C0F"/>
    <w:rsid w:val="00CA4F34"/>
    <w:rsid w:val="00CD4F57"/>
    <w:rsid w:val="00CF17EA"/>
    <w:rsid w:val="00D310C9"/>
    <w:rsid w:val="00D5510B"/>
    <w:rsid w:val="00D621DE"/>
    <w:rsid w:val="00D9104C"/>
    <w:rsid w:val="00DA0F17"/>
    <w:rsid w:val="00DC497B"/>
    <w:rsid w:val="00DD434E"/>
    <w:rsid w:val="00E34F7B"/>
    <w:rsid w:val="00E36E27"/>
    <w:rsid w:val="00E410B8"/>
    <w:rsid w:val="00E51195"/>
    <w:rsid w:val="00E604B8"/>
    <w:rsid w:val="00E63F71"/>
    <w:rsid w:val="00E81DB0"/>
    <w:rsid w:val="00E81F78"/>
    <w:rsid w:val="00EB2F3D"/>
    <w:rsid w:val="00EC0D4B"/>
    <w:rsid w:val="00ED5F65"/>
    <w:rsid w:val="00EE42D0"/>
    <w:rsid w:val="00F22F63"/>
    <w:rsid w:val="00F31945"/>
    <w:rsid w:val="00F63EE6"/>
    <w:rsid w:val="00F72281"/>
    <w:rsid w:val="00F77FE2"/>
    <w:rsid w:val="00F801CB"/>
    <w:rsid w:val="00F904E0"/>
    <w:rsid w:val="00FA4CE7"/>
    <w:rsid w:val="00FA763E"/>
    <w:rsid w:val="00FB00E3"/>
    <w:rsid w:val="00FC38CE"/>
    <w:rsid w:val="00FC5F1C"/>
    <w:rsid w:val="00FE15A4"/>
    <w:rsid w:val="00FF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0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482DAF"/>
    <w:rPr>
      <w:smallCaps/>
      <w:color w:val="C0504D" w:themeColor="accent2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B3D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3D7A"/>
  </w:style>
  <w:style w:type="paragraph" w:styleId="Stopka">
    <w:name w:val="footer"/>
    <w:basedOn w:val="Normalny"/>
    <w:link w:val="StopkaZnak"/>
    <w:uiPriority w:val="99"/>
    <w:unhideWhenUsed/>
    <w:rsid w:val="001B3D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3D7A"/>
  </w:style>
  <w:style w:type="table" w:styleId="Tabela-Siatka">
    <w:name w:val="Table Grid"/>
    <w:basedOn w:val="Standardowy"/>
    <w:uiPriority w:val="59"/>
    <w:rsid w:val="00200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7841F-FDA2-4109-B130-14E83114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6</Pages>
  <Words>1632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Słupińska</dc:creator>
  <cp:lastModifiedBy>Wioletta Słupińska</cp:lastModifiedBy>
  <cp:revision>139</cp:revision>
  <dcterms:created xsi:type="dcterms:W3CDTF">2016-08-30T09:10:00Z</dcterms:created>
  <dcterms:modified xsi:type="dcterms:W3CDTF">2016-09-26T09:27:00Z</dcterms:modified>
</cp:coreProperties>
</file>